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4CC2D8">
      <w:pPr>
        <w:spacing w:beforeLines="0" w:afterLines="0" w:line="240" w:lineRule="auto"/>
        <w:ind w:firstLine="0" w:firstLineChars="0"/>
        <w:rPr>
          <w:rFonts w:ascii="黑体" w:eastAsia="黑体"/>
          <w:sz w:val="72"/>
          <w:szCs w:val="72"/>
          <w:u w:val="single"/>
        </w:rPr>
      </w:pPr>
    </w:p>
    <w:p w14:paraId="07A901BB">
      <w:pPr>
        <w:spacing w:beforeLines="0" w:afterLines="0" w:line="240" w:lineRule="auto"/>
        <w:ind w:firstLine="0" w:firstLineChars="0"/>
        <w:rPr>
          <w:rFonts w:ascii="黑体" w:eastAsia="黑体"/>
          <w:sz w:val="72"/>
          <w:szCs w:val="72"/>
          <w:u w:val="single"/>
        </w:rPr>
      </w:pPr>
      <w:bookmarkStart w:id="69" w:name="_GoBack"/>
      <w:bookmarkEnd w:id="69"/>
    </w:p>
    <w:p w14:paraId="5D7EE7B5">
      <w:pPr>
        <w:spacing w:beforeLines="0" w:afterLines="0" w:line="240" w:lineRule="auto"/>
        <w:ind w:firstLine="0" w:firstLineChars="0"/>
        <w:jc w:val="center"/>
        <w:rPr>
          <w:rFonts w:ascii="黑体" w:eastAsia="黑体"/>
          <w:sz w:val="72"/>
          <w:szCs w:val="72"/>
        </w:rPr>
      </w:pPr>
    </w:p>
    <w:p w14:paraId="4E88A06A">
      <w:pPr>
        <w:spacing w:beforeLines="0" w:afterLines="0" w:line="240" w:lineRule="auto"/>
        <w:ind w:firstLine="0" w:firstLineChars="0"/>
        <w:jc w:val="center"/>
        <w:rPr>
          <w:rFonts w:hAnsi="微软雅黑"/>
          <w:sz w:val="72"/>
          <w:szCs w:val="72"/>
        </w:rPr>
      </w:pPr>
      <w:r>
        <w:rPr>
          <w:rFonts w:hint="eastAsia"/>
          <w:sz w:val="72"/>
          <w:szCs w:val="72"/>
        </w:rPr>
        <w:t>华天动力协同OA系统</w:t>
      </w:r>
    </w:p>
    <w:p w14:paraId="2E3D139B">
      <w:pPr>
        <w:spacing w:beforeLines="0" w:afterLines="0" w:line="240" w:lineRule="auto"/>
        <w:ind w:firstLine="0" w:firstLineChars="0"/>
        <w:jc w:val="center"/>
        <w:rPr>
          <w:sz w:val="44"/>
          <w:szCs w:val="44"/>
        </w:rPr>
      </w:pPr>
    </w:p>
    <w:p w14:paraId="62EF625D">
      <w:pPr>
        <w:spacing w:before="93" w:after="93"/>
        <w:ind w:firstLine="0" w:firstLineChars="0"/>
        <w:jc w:val="center"/>
        <w:rPr>
          <w:sz w:val="56"/>
          <w:szCs w:val="48"/>
        </w:rPr>
      </w:pPr>
      <w:r>
        <w:rPr>
          <w:sz w:val="56"/>
          <w:szCs w:val="48"/>
        </w:rPr>
        <w:t>——Office Automation——</w:t>
      </w:r>
    </w:p>
    <w:p w14:paraId="533551DA">
      <w:pPr>
        <w:spacing w:beforeLines="0" w:afterLines="0" w:line="240" w:lineRule="auto"/>
        <w:ind w:firstLine="0" w:firstLineChars="0"/>
        <w:jc w:val="center"/>
        <w:outlineLvl w:val="0"/>
        <w:rPr>
          <w:rFonts w:eastAsia="黑体" w:cs="Arial"/>
          <w:sz w:val="44"/>
          <w:szCs w:val="48"/>
        </w:rPr>
      </w:pPr>
    </w:p>
    <w:p w14:paraId="6633B43C">
      <w:pPr>
        <w:pStyle w:val="17"/>
        <w:spacing w:before="93" w:after="156"/>
        <w:rPr>
          <w:rFonts w:ascii="微软雅黑" w:hAnsi="微软雅黑" w:cs="Times New Roman"/>
          <w:szCs w:val="44"/>
        </w:rPr>
      </w:pPr>
      <w:r>
        <w:rPr>
          <w:rFonts w:hint="eastAsia"/>
        </w:rPr>
        <w:t>公文收文</w:t>
      </w:r>
    </w:p>
    <w:p w14:paraId="59ABCEB2">
      <w:pPr>
        <w:pStyle w:val="17"/>
        <w:spacing w:before="93" w:after="156"/>
      </w:pPr>
      <w:r>
        <w:rPr>
          <w:rFonts w:hint="eastAsia" w:ascii="微软雅黑" w:hAnsi="微软雅黑" w:cs="Times New Roman"/>
          <w:szCs w:val="44"/>
        </w:rPr>
        <w:t>（前端使用手册）</w:t>
      </w:r>
    </w:p>
    <w:p w14:paraId="6F596DF6">
      <w:pPr>
        <w:spacing w:beforeLines="0" w:afterLines="0" w:line="240" w:lineRule="auto"/>
        <w:ind w:firstLine="0" w:firstLineChars="0"/>
        <w:jc w:val="center"/>
        <w:rPr>
          <w:rFonts w:ascii="黑体" w:eastAsia="黑体"/>
          <w:sz w:val="52"/>
          <w:szCs w:val="52"/>
        </w:rPr>
      </w:pPr>
    </w:p>
    <w:p w14:paraId="4B15960D">
      <w:pPr>
        <w:spacing w:beforeLines="0" w:afterLines="0" w:line="240" w:lineRule="auto"/>
        <w:ind w:firstLine="0" w:firstLineChars="0"/>
        <w:rPr>
          <w:rFonts w:ascii="黑体" w:eastAsia="黑体"/>
          <w:sz w:val="52"/>
          <w:szCs w:val="52"/>
        </w:rPr>
      </w:pPr>
    </w:p>
    <w:p w14:paraId="6B7135E9">
      <w:pPr>
        <w:spacing w:beforeLines="0" w:afterLines="0" w:line="240" w:lineRule="auto"/>
        <w:ind w:firstLine="0" w:firstLineChars="0"/>
        <w:rPr>
          <w:rFonts w:ascii="黑体" w:eastAsia="黑体"/>
          <w:sz w:val="52"/>
          <w:szCs w:val="52"/>
        </w:rPr>
      </w:pPr>
    </w:p>
    <w:p w14:paraId="33C09048">
      <w:pPr>
        <w:spacing w:beforeLines="0" w:afterLines="0" w:line="240" w:lineRule="auto"/>
        <w:ind w:firstLine="0" w:firstLineChars="0"/>
        <w:rPr>
          <w:rFonts w:ascii="黑体" w:eastAsia="黑体"/>
          <w:sz w:val="52"/>
          <w:szCs w:val="52"/>
        </w:rPr>
      </w:pPr>
    </w:p>
    <w:p w14:paraId="71135F1F">
      <w:pPr>
        <w:spacing w:beforeLines="0" w:afterLines="0" w:line="240" w:lineRule="auto"/>
        <w:ind w:firstLine="0" w:firstLineChars="0"/>
        <w:rPr>
          <w:rFonts w:ascii="黑体" w:eastAsia="黑体"/>
          <w:sz w:val="52"/>
          <w:szCs w:val="52"/>
        </w:rPr>
      </w:pPr>
    </w:p>
    <w:p w14:paraId="26B864C0">
      <w:pPr>
        <w:spacing w:beforeLines="0" w:afterLines="0" w:line="240" w:lineRule="auto"/>
        <w:ind w:firstLine="0" w:firstLineChars="0"/>
        <w:rPr>
          <w:rFonts w:ascii="黑体" w:eastAsia="黑体"/>
          <w:sz w:val="52"/>
          <w:szCs w:val="52"/>
        </w:rPr>
      </w:pPr>
    </w:p>
    <w:p w14:paraId="1E85A1D1">
      <w:pPr>
        <w:spacing w:beforeLines="0" w:afterLines="0" w:line="240" w:lineRule="auto"/>
        <w:ind w:firstLine="0" w:firstLineChars="0"/>
        <w:jc w:val="center"/>
        <w:rPr>
          <w:rFonts w:ascii="黑体" w:eastAsia="黑体"/>
          <w:sz w:val="28"/>
          <w:szCs w:val="52"/>
        </w:rPr>
      </w:pPr>
      <w:r>
        <w:rPr>
          <w:rFonts w:hint="eastAsia" w:ascii="微软雅黑" w:hAnsi="微软雅黑"/>
          <w:sz w:val="28"/>
          <w:szCs w:val="52"/>
        </w:rPr>
        <w:t>大连华天软件有限公司</w:t>
      </w:r>
      <w:r>
        <w:rPr>
          <w:rFonts w:ascii="黑体" w:eastAsia="黑体"/>
          <w:sz w:val="28"/>
          <w:szCs w:val="52"/>
        </w:rPr>
        <w:br w:type="page"/>
      </w:r>
    </w:p>
    <w:p w14:paraId="581015C9">
      <w:pPr>
        <w:pStyle w:val="14"/>
        <w:spacing w:after="156"/>
        <w:rPr>
          <w:szCs w:val="52"/>
        </w:rPr>
      </w:pPr>
      <w:r>
        <w:rPr>
          <w:rFonts w:hint="eastAsia"/>
          <w:szCs w:val="52"/>
        </w:rPr>
        <w:t>版本控制</w:t>
      </w:r>
    </w:p>
    <w:p w14:paraId="4E06FAE3">
      <w:pPr>
        <w:spacing w:before="93" w:after="93"/>
        <w:ind w:firstLine="420"/>
      </w:pPr>
    </w:p>
    <w:tbl>
      <w:tblPr>
        <w:tblStyle w:val="18"/>
        <w:tblW w:w="10330" w:type="dxa"/>
        <w:tblInd w:w="102" w:type="dxa"/>
        <w:tblLayout w:type="fixed"/>
        <w:tblCellMar>
          <w:top w:w="0" w:type="dxa"/>
          <w:left w:w="108" w:type="dxa"/>
          <w:bottom w:w="0" w:type="dxa"/>
          <w:right w:w="108" w:type="dxa"/>
        </w:tblCellMar>
      </w:tblPr>
      <w:tblGrid>
        <w:gridCol w:w="1137"/>
        <w:gridCol w:w="6379"/>
        <w:gridCol w:w="1413"/>
        <w:gridCol w:w="1401"/>
      </w:tblGrid>
      <w:tr w14:paraId="75C1D7F3">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shd w:val="clear" w:color="auto" w:fill="808080"/>
            <w:vAlign w:val="center"/>
          </w:tcPr>
          <w:p w14:paraId="4341008E">
            <w:pPr>
              <w:spacing w:beforeLines="50" w:afterLines="50" w:line="240" w:lineRule="auto"/>
              <w:ind w:firstLine="0" w:firstLineChars="0"/>
              <w:jc w:val="center"/>
              <w:rPr>
                <w:color w:val="FFFFFF"/>
                <w:kern w:val="0"/>
              </w:rPr>
            </w:pPr>
            <w:r>
              <w:rPr>
                <w:rFonts w:hint="eastAsia"/>
                <w:color w:val="FFFFFF"/>
                <w:kern w:val="0"/>
              </w:rPr>
              <w:t>版本号</w:t>
            </w:r>
          </w:p>
        </w:tc>
        <w:tc>
          <w:tcPr>
            <w:tcW w:w="6379" w:type="dxa"/>
            <w:tcBorders>
              <w:top w:val="single" w:color="auto" w:sz="4" w:space="0"/>
              <w:left w:val="single" w:color="auto" w:sz="4" w:space="0"/>
              <w:bottom w:val="single" w:color="auto" w:sz="4" w:space="0"/>
              <w:right w:val="single" w:color="auto" w:sz="4" w:space="0"/>
            </w:tcBorders>
            <w:shd w:val="clear" w:color="auto" w:fill="808080"/>
            <w:vAlign w:val="center"/>
          </w:tcPr>
          <w:p w14:paraId="44EB5E7E">
            <w:pPr>
              <w:spacing w:beforeLines="50" w:afterLines="50" w:line="240" w:lineRule="auto"/>
              <w:ind w:firstLine="0" w:firstLineChars="0"/>
              <w:jc w:val="center"/>
              <w:rPr>
                <w:color w:val="FFFFFF"/>
                <w:kern w:val="0"/>
              </w:rPr>
            </w:pPr>
            <w:r>
              <w:rPr>
                <w:rFonts w:hint="eastAsia"/>
                <w:color w:val="FFFFFF"/>
                <w:kern w:val="0"/>
              </w:rPr>
              <w:t>内容</w:t>
            </w:r>
          </w:p>
        </w:tc>
        <w:tc>
          <w:tcPr>
            <w:tcW w:w="1413" w:type="dxa"/>
            <w:tcBorders>
              <w:top w:val="single" w:color="auto" w:sz="4" w:space="0"/>
              <w:left w:val="single" w:color="auto" w:sz="4" w:space="0"/>
              <w:bottom w:val="single" w:color="auto" w:sz="4" w:space="0"/>
              <w:right w:val="single" w:color="auto" w:sz="4" w:space="0"/>
            </w:tcBorders>
            <w:shd w:val="clear" w:color="auto" w:fill="808080"/>
            <w:vAlign w:val="center"/>
          </w:tcPr>
          <w:p w14:paraId="7A970814">
            <w:pPr>
              <w:spacing w:beforeLines="50" w:afterLines="50" w:line="240" w:lineRule="auto"/>
              <w:ind w:firstLine="0" w:firstLineChars="0"/>
              <w:jc w:val="center"/>
              <w:rPr>
                <w:color w:val="FFFFFF"/>
                <w:kern w:val="0"/>
              </w:rPr>
            </w:pPr>
            <w:r>
              <w:rPr>
                <w:rFonts w:hint="eastAsia"/>
                <w:color w:val="FFFFFF"/>
                <w:kern w:val="0"/>
              </w:rPr>
              <w:t>修改人</w:t>
            </w:r>
          </w:p>
        </w:tc>
        <w:tc>
          <w:tcPr>
            <w:tcW w:w="1401" w:type="dxa"/>
            <w:tcBorders>
              <w:top w:val="single" w:color="auto" w:sz="4" w:space="0"/>
              <w:left w:val="nil"/>
              <w:bottom w:val="single" w:color="auto" w:sz="4" w:space="0"/>
              <w:right w:val="single" w:color="auto" w:sz="4" w:space="0"/>
            </w:tcBorders>
            <w:shd w:val="clear" w:color="auto" w:fill="808080"/>
            <w:vAlign w:val="center"/>
          </w:tcPr>
          <w:p w14:paraId="18317F80">
            <w:pPr>
              <w:spacing w:beforeLines="50" w:afterLines="50" w:line="240" w:lineRule="auto"/>
              <w:ind w:firstLine="0" w:firstLineChars="0"/>
              <w:jc w:val="center"/>
              <w:rPr>
                <w:color w:val="FFFFFF"/>
                <w:kern w:val="0"/>
              </w:rPr>
            </w:pPr>
            <w:r>
              <w:rPr>
                <w:rFonts w:hint="eastAsia"/>
                <w:color w:val="FFFFFF"/>
                <w:kern w:val="0"/>
              </w:rPr>
              <w:t>修改日期</w:t>
            </w:r>
          </w:p>
        </w:tc>
      </w:tr>
      <w:tr w14:paraId="22AC9BE1">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070FC8EC">
            <w:pPr>
              <w:spacing w:beforeLines="50"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7AF34D22">
            <w:pPr>
              <w:spacing w:beforeLines="50" w:afterLines="50" w:line="240" w:lineRule="auto"/>
              <w:ind w:firstLine="0" w:firstLineChars="0"/>
              <w:rPr>
                <w:rFonts w:hint="default" w:eastAsia="微软雅黑"/>
                <w:kern w:val="0"/>
                <w:lang w:val="en-US" w:eastAsia="zh-CN"/>
              </w:rPr>
            </w:pPr>
          </w:p>
        </w:tc>
        <w:tc>
          <w:tcPr>
            <w:tcW w:w="1413" w:type="dxa"/>
            <w:tcBorders>
              <w:top w:val="single" w:color="auto" w:sz="4" w:space="0"/>
              <w:left w:val="single" w:color="auto" w:sz="4" w:space="0"/>
              <w:bottom w:val="single" w:color="auto" w:sz="4" w:space="0"/>
              <w:right w:val="single" w:color="auto" w:sz="4" w:space="0"/>
            </w:tcBorders>
            <w:vAlign w:val="center"/>
          </w:tcPr>
          <w:p w14:paraId="047CAFB3">
            <w:pPr>
              <w:spacing w:beforeLines="50" w:afterLines="50" w:line="240" w:lineRule="auto"/>
              <w:ind w:firstLine="0" w:firstLineChars="0"/>
              <w:rPr>
                <w:rFonts w:hint="eastAsia" w:eastAsia="微软雅黑"/>
                <w:kern w:val="0"/>
                <w:lang w:val="en-US" w:eastAsia="zh-CN"/>
              </w:rPr>
            </w:pPr>
          </w:p>
        </w:tc>
        <w:tc>
          <w:tcPr>
            <w:tcW w:w="1401" w:type="dxa"/>
            <w:tcBorders>
              <w:top w:val="single" w:color="auto" w:sz="4" w:space="0"/>
              <w:left w:val="nil"/>
              <w:bottom w:val="single" w:color="auto" w:sz="4" w:space="0"/>
              <w:right w:val="single" w:color="auto" w:sz="4" w:space="0"/>
            </w:tcBorders>
            <w:vAlign w:val="center"/>
          </w:tcPr>
          <w:p w14:paraId="12093155">
            <w:pPr>
              <w:spacing w:beforeLines="50" w:afterLines="50" w:line="240" w:lineRule="auto"/>
              <w:ind w:firstLine="0" w:firstLineChars="0"/>
              <w:jc w:val="center"/>
              <w:rPr>
                <w:rFonts w:hint="default" w:eastAsia="微软雅黑"/>
                <w:lang w:val="en-US" w:eastAsia="zh-CN"/>
              </w:rPr>
            </w:pPr>
          </w:p>
        </w:tc>
      </w:tr>
      <w:tr w14:paraId="2CA60C46">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0C6FE7E8">
            <w:pPr>
              <w:spacing w:beforeLines="50" w:afterLines="50" w:line="240" w:lineRule="auto"/>
              <w:ind w:firstLine="0" w:firstLineChars="0"/>
              <w:jc w:val="center"/>
              <w:rPr>
                <w:rFonts w:hint="default" w:eastAsia="微软雅黑"/>
                <w:kern w:val="0"/>
                <w:sz w:val="20"/>
                <w:lang w:val="en-US" w:eastAsia="zh-CN"/>
              </w:rPr>
            </w:pPr>
          </w:p>
        </w:tc>
        <w:tc>
          <w:tcPr>
            <w:tcW w:w="6379" w:type="dxa"/>
            <w:tcBorders>
              <w:top w:val="single" w:color="auto" w:sz="4" w:space="0"/>
              <w:left w:val="single" w:color="auto" w:sz="4" w:space="0"/>
              <w:bottom w:val="single" w:color="auto" w:sz="4" w:space="0"/>
              <w:right w:val="single" w:color="auto" w:sz="4" w:space="0"/>
            </w:tcBorders>
            <w:vAlign w:val="center"/>
          </w:tcPr>
          <w:p w14:paraId="665E92DA">
            <w:pPr>
              <w:spacing w:beforeLines="50" w:afterLines="50" w:line="240" w:lineRule="auto"/>
              <w:ind w:firstLine="0" w:firstLineChars="0"/>
              <w:rPr>
                <w:rFonts w:hint="eastAsia" w:eastAsia="微软雅黑"/>
                <w:kern w:val="0"/>
                <w:sz w:val="20"/>
                <w:lang w:eastAsia="zh-CN"/>
              </w:rPr>
            </w:pPr>
          </w:p>
        </w:tc>
        <w:tc>
          <w:tcPr>
            <w:tcW w:w="1413" w:type="dxa"/>
            <w:tcBorders>
              <w:top w:val="single" w:color="auto" w:sz="4" w:space="0"/>
              <w:left w:val="single" w:color="auto" w:sz="4" w:space="0"/>
              <w:bottom w:val="single" w:color="auto" w:sz="4" w:space="0"/>
              <w:right w:val="single" w:color="auto" w:sz="4" w:space="0"/>
            </w:tcBorders>
            <w:vAlign w:val="center"/>
          </w:tcPr>
          <w:p w14:paraId="7D61ABB1">
            <w:pPr>
              <w:spacing w:beforeLines="50" w:afterLines="50" w:line="240" w:lineRule="auto"/>
              <w:ind w:firstLine="0" w:firstLineChars="0"/>
              <w:rPr>
                <w:rFonts w:hint="eastAsia" w:eastAsia="微软雅黑"/>
                <w:kern w:val="0"/>
                <w:sz w:val="20"/>
                <w:lang w:eastAsia="zh-CN"/>
              </w:rPr>
            </w:pPr>
          </w:p>
        </w:tc>
        <w:tc>
          <w:tcPr>
            <w:tcW w:w="1401" w:type="dxa"/>
            <w:tcBorders>
              <w:top w:val="single" w:color="auto" w:sz="4" w:space="0"/>
              <w:left w:val="nil"/>
              <w:bottom w:val="single" w:color="auto" w:sz="4" w:space="0"/>
              <w:right w:val="single" w:color="auto" w:sz="4" w:space="0"/>
            </w:tcBorders>
            <w:vAlign w:val="center"/>
          </w:tcPr>
          <w:p w14:paraId="4913D5FC">
            <w:pPr>
              <w:spacing w:beforeLines="50" w:afterLines="50" w:line="240" w:lineRule="auto"/>
              <w:ind w:firstLine="0" w:firstLineChars="0"/>
              <w:jc w:val="center"/>
              <w:rPr>
                <w:rFonts w:hint="default" w:eastAsia="微软雅黑"/>
                <w:kern w:val="0"/>
                <w:sz w:val="20"/>
                <w:lang w:val="en-US" w:eastAsia="zh-CN"/>
              </w:rPr>
            </w:pPr>
          </w:p>
        </w:tc>
      </w:tr>
      <w:tr w14:paraId="4B584DFC">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04BBD105">
            <w:pPr>
              <w:spacing w:beforeLines="50" w:afterLines="50" w:line="240" w:lineRule="auto"/>
              <w:ind w:firstLine="0" w:firstLineChars="0"/>
              <w:jc w:val="center"/>
              <w:rPr>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2F8B3732">
            <w:pPr>
              <w:spacing w:beforeLines="50"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31AA8918">
            <w:pPr>
              <w:spacing w:beforeLines="50"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504849CA">
            <w:pPr>
              <w:spacing w:beforeLines="50" w:afterLines="50" w:line="240" w:lineRule="auto"/>
              <w:ind w:firstLine="0" w:firstLineChars="0"/>
              <w:jc w:val="center"/>
              <w:rPr>
                <w:kern w:val="0"/>
              </w:rPr>
            </w:pPr>
          </w:p>
        </w:tc>
      </w:tr>
      <w:tr w14:paraId="0BD8FC2B">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4A480150">
            <w:pPr>
              <w:spacing w:beforeLines="50"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60F68F97">
            <w:pPr>
              <w:spacing w:beforeLines="50"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2984C4BE">
            <w:pPr>
              <w:spacing w:beforeLines="50"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55C48E05">
            <w:pPr>
              <w:spacing w:beforeLines="50" w:afterLines="50" w:line="240" w:lineRule="auto"/>
              <w:ind w:firstLine="0" w:firstLineChars="0"/>
              <w:jc w:val="center"/>
            </w:pPr>
          </w:p>
        </w:tc>
      </w:tr>
      <w:tr w14:paraId="732D24C3">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555C3743">
            <w:pPr>
              <w:spacing w:beforeLines="50" w:afterLines="50" w:line="240" w:lineRule="auto"/>
              <w:ind w:firstLine="0" w:firstLineChars="0"/>
              <w:jc w:val="center"/>
              <w:rPr>
                <w:color w:val="000000"/>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25F4EBB3">
            <w:pPr>
              <w:spacing w:beforeLines="50" w:afterLines="50" w:line="240" w:lineRule="auto"/>
              <w:ind w:firstLine="0" w:firstLineChars="0"/>
              <w:rPr>
                <w:color w:val="000000"/>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37BC2BB7">
            <w:pPr>
              <w:spacing w:beforeLines="50"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215BD3E9">
            <w:pPr>
              <w:spacing w:beforeLines="50" w:afterLines="50" w:line="240" w:lineRule="auto"/>
              <w:ind w:firstLine="0" w:firstLineChars="0"/>
              <w:jc w:val="center"/>
              <w:rPr>
                <w:kern w:val="0"/>
              </w:rPr>
            </w:pPr>
          </w:p>
        </w:tc>
      </w:tr>
      <w:tr w14:paraId="4D227FE3">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6E14D733">
            <w:pPr>
              <w:spacing w:beforeLines="50"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456EB164">
            <w:pPr>
              <w:spacing w:beforeLines="50" w:afterLines="50" w:line="240" w:lineRule="auto"/>
              <w:ind w:firstLine="0" w:firstLineChars="0"/>
              <w:rPr>
                <w:color w:val="000000"/>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3316EDAC">
            <w:pPr>
              <w:spacing w:beforeLines="50"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2D0B66BD">
            <w:pPr>
              <w:spacing w:beforeLines="50" w:afterLines="50" w:line="240" w:lineRule="auto"/>
              <w:ind w:firstLine="0" w:firstLineChars="0"/>
              <w:jc w:val="center"/>
            </w:pPr>
          </w:p>
        </w:tc>
      </w:tr>
    </w:tbl>
    <w:p w14:paraId="109473F9">
      <w:pPr>
        <w:widowControl/>
        <w:spacing w:before="93" w:after="93"/>
        <w:ind w:firstLine="1040"/>
        <w:jc w:val="left"/>
        <w:rPr>
          <w:rFonts w:ascii="黑体" w:eastAsia="黑体"/>
          <w:sz w:val="52"/>
          <w:szCs w:val="52"/>
        </w:rPr>
      </w:pPr>
    </w:p>
    <w:p w14:paraId="21755A43">
      <w:pPr>
        <w:widowControl/>
        <w:spacing w:before="93" w:after="93"/>
        <w:ind w:firstLine="1040"/>
        <w:jc w:val="left"/>
        <w:rPr>
          <w:rFonts w:ascii="黑体" w:eastAsia="黑体"/>
          <w:sz w:val="52"/>
          <w:szCs w:val="52"/>
        </w:rPr>
        <w:sectPr>
          <w:headerReference r:id="rId7" w:type="first"/>
          <w:footerReference r:id="rId10" w:type="first"/>
          <w:headerReference r:id="rId5" w:type="default"/>
          <w:footerReference r:id="rId8" w:type="default"/>
          <w:headerReference r:id="rId6" w:type="even"/>
          <w:footerReference r:id="rId9" w:type="even"/>
          <w:pgSz w:w="11906" w:h="16838"/>
          <w:pgMar w:top="1559" w:right="896" w:bottom="777" w:left="896" w:header="851" w:footer="992" w:gutter="0"/>
          <w:pgNumType w:fmt="upperRoman" w:start="1"/>
          <w:cols w:space="720" w:num="1"/>
          <w:docGrid w:type="lines" w:linePitch="312" w:charSpace="0"/>
        </w:sectPr>
      </w:pPr>
    </w:p>
    <w:p w14:paraId="7E3CC2D5">
      <w:pPr>
        <w:widowControl/>
        <w:adjustRightInd/>
        <w:snapToGrid/>
        <w:spacing w:beforeLines="0" w:afterLines="0" w:line="240" w:lineRule="auto"/>
        <w:ind w:firstLine="0" w:firstLineChars="0"/>
        <w:jc w:val="left"/>
      </w:pPr>
      <w:r>
        <w:pict>
          <v:shape id="_x0000_i1025" o:spt="75" type="#_x0000_t75" style="height:72pt;width:503.4pt;" filled="f" o:preferrelative="t" stroked="f" coordsize="21600,21600">
            <v:path/>
            <v:fill on="f" focussize="0,0"/>
            <v:stroke on="f" joinstyle="miter"/>
            <v:imagedata r:id="rId19" cropbottom="27882f" o:title=""/>
            <o:lock v:ext="edit" aspectratio="t"/>
            <w10:wrap type="none"/>
            <w10:anchorlock/>
          </v:shape>
        </w:pict>
      </w:r>
    </w:p>
    <w:p w14:paraId="7BA7406B">
      <w:pPr>
        <w:pStyle w:val="14"/>
        <w:spacing w:after="156"/>
      </w:pPr>
      <w:bookmarkStart w:id="0" w:name="_Toc249180409"/>
      <w:bookmarkStart w:id="1" w:name="_Toc248823006"/>
      <w:r>
        <w:rPr>
          <w:rFonts w:hint="eastAsia"/>
        </w:rPr>
        <w:t>目录</w:t>
      </w:r>
      <w:bookmarkEnd w:id="0"/>
      <w:bookmarkEnd w:id="1"/>
    </w:p>
    <w:p w14:paraId="1824855B">
      <w:pPr>
        <w:widowControl/>
        <w:adjustRightInd/>
        <w:snapToGrid/>
        <w:spacing w:beforeLines="0" w:afterLines="0" w:line="240" w:lineRule="auto"/>
        <w:ind w:firstLine="0" w:firstLineChars="0"/>
        <w:jc w:val="left"/>
      </w:pPr>
    </w:p>
    <w:p w14:paraId="15600933">
      <w:pPr>
        <w:widowControl/>
        <w:adjustRightInd/>
        <w:snapToGrid/>
        <w:spacing w:beforeLines="0" w:afterLines="0" w:line="240" w:lineRule="auto"/>
        <w:ind w:firstLine="0" w:firstLineChars="0"/>
        <w:jc w:val="left"/>
      </w:pPr>
    </w:p>
    <w:p w14:paraId="62F284CD">
      <w:pPr>
        <w:pStyle w:val="13"/>
        <w:tabs>
          <w:tab w:val="right" w:leader="dot" w:pos="10114"/>
          <w:tab w:val="clear" w:pos="10104"/>
        </w:tabs>
      </w:pPr>
      <w:r>
        <w:rPr>
          <w:rFonts w:ascii="微软雅黑" w:hAnsi="微软雅黑"/>
        </w:rPr>
        <w:fldChar w:fldCharType="begin"/>
      </w:r>
      <w:r>
        <w:rPr>
          <w:rFonts w:ascii="微软雅黑" w:hAnsi="微软雅黑"/>
        </w:rPr>
        <w:instrText xml:space="preserve"> TOC \o "3-3" \h \z \t "标题 1,1,标题 2,2"</w:instrText>
      </w:r>
      <w:r>
        <w:rPr>
          <w:rFonts w:ascii="微软雅黑" w:hAnsi="微软雅黑"/>
        </w:rPr>
        <w:fldChar w:fldCharType="separate"/>
      </w:r>
      <w:r>
        <w:rPr>
          <w:rFonts w:ascii="微软雅黑" w:hAnsi="微软雅黑"/>
        </w:rPr>
        <w:fldChar w:fldCharType="begin"/>
      </w:r>
      <w:r>
        <w:rPr>
          <w:rFonts w:ascii="微软雅黑" w:hAnsi="微软雅黑"/>
        </w:rPr>
        <w:instrText xml:space="preserve"> HYPERLINK \l _Toc20211 </w:instrText>
      </w:r>
      <w:r>
        <w:rPr>
          <w:rFonts w:ascii="微软雅黑" w:hAnsi="微软雅黑"/>
        </w:rPr>
        <w:fldChar w:fldCharType="separate"/>
      </w:r>
      <w:r>
        <w:rPr>
          <w:rFonts w:hint="eastAsia"/>
        </w:rPr>
        <w:t>PART1 前言</w:t>
      </w:r>
      <w:r>
        <w:tab/>
      </w:r>
      <w:r>
        <w:fldChar w:fldCharType="begin"/>
      </w:r>
      <w:r>
        <w:instrText xml:space="preserve"> PAGEREF _Toc20211 \h </w:instrText>
      </w:r>
      <w:r>
        <w:fldChar w:fldCharType="separate"/>
      </w:r>
      <w:r>
        <w:t>1</w:t>
      </w:r>
      <w:r>
        <w:fldChar w:fldCharType="end"/>
      </w:r>
      <w:r>
        <w:rPr>
          <w:rFonts w:ascii="微软雅黑" w:hAnsi="微软雅黑"/>
        </w:rPr>
        <w:fldChar w:fldCharType="end"/>
      </w:r>
    </w:p>
    <w:p w14:paraId="472DA68B">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_Toc13099 </w:instrText>
      </w:r>
      <w:r>
        <w:rPr>
          <w:rFonts w:ascii="微软雅黑" w:hAnsi="微软雅黑"/>
        </w:rPr>
        <w:fldChar w:fldCharType="separate"/>
      </w:r>
      <w:r>
        <w:rPr>
          <w:rFonts w:hint="eastAsia"/>
        </w:rPr>
        <w:t>1.1 关于本文档</w:t>
      </w:r>
      <w:r>
        <w:tab/>
      </w:r>
      <w:r>
        <w:fldChar w:fldCharType="begin"/>
      </w:r>
      <w:r>
        <w:instrText xml:space="preserve"> PAGEREF _Toc13099 \h </w:instrText>
      </w:r>
      <w:r>
        <w:fldChar w:fldCharType="separate"/>
      </w:r>
      <w:r>
        <w:t>1</w:t>
      </w:r>
      <w:r>
        <w:fldChar w:fldCharType="end"/>
      </w:r>
      <w:r>
        <w:rPr>
          <w:rFonts w:ascii="微软雅黑" w:hAnsi="微软雅黑"/>
        </w:rPr>
        <w:fldChar w:fldCharType="end"/>
      </w:r>
    </w:p>
    <w:p w14:paraId="70C2C52F">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_Toc26982 </w:instrText>
      </w:r>
      <w:r>
        <w:rPr>
          <w:rFonts w:ascii="微软雅黑" w:hAnsi="微软雅黑"/>
        </w:rPr>
        <w:fldChar w:fldCharType="separate"/>
      </w:r>
      <w:r>
        <w:rPr>
          <w:rFonts w:hint="eastAsia"/>
        </w:rPr>
        <w:t>1.2 文档结构</w:t>
      </w:r>
      <w:r>
        <w:tab/>
      </w:r>
      <w:r>
        <w:fldChar w:fldCharType="begin"/>
      </w:r>
      <w:r>
        <w:instrText xml:space="preserve"> PAGEREF _Toc26982 \h </w:instrText>
      </w:r>
      <w:r>
        <w:fldChar w:fldCharType="separate"/>
      </w:r>
      <w:r>
        <w:t>1</w:t>
      </w:r>
      <w:r>
        <w:fldChar w:fldCharType="end"/>
      </w:r>
      <w:r>
        <w:rPr>
          <w:rFonts w:ascii="微软雅黑" w:hAnsi="微软雅黑"/>
        </w:rPr>
        <w:fldChar w:fldCharType="end"/>
      </w:r>
    </w:p>
    <w:p w14:paraId="7CB79CCF">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_Toc14458 </w:instrText>
      </w:r>
      <w:r>
        <w:rPr>
          <w:rFonts w:ascii="微软雅黑" w:hAnsi="微软雅黑"/>
        </w:rPr>
        <w:fldChar w:fldCharType="separate"/>
      </w:r>
      <w:r>
        <w:rPr>
          <w:rFonts w:hint="eastAsia"/>
        </w:rPr>
        <w:t>1.3 针对用户</w:t>
      </w:r>
      <w:r>
        <w:tab/>
      </w:r>
      <w:r>
        <w:fldChar w:fldCharType="begin"/>
      </w:r>
      <w:r>
        <w:instrText xml:space="preserve"> PAGEREF _Toc14458 \h </w:instrText>
      </w:r>
      <w:r>
        <w:fldChar w:fldCharType="separate"/>
      </w:r>
      <w:r>
        <w:t>1</w:t>
      </w:r>
      <w:r>
        <w:fldChar w:fldCharType="end"/>
      </w:r>
      <w:r>
        <w:rPr>
          <w:rFonts w:ascii="微软雅黑" w:hAnsi="微软雅黑"/>
        </w:rPr>
        <w:fldChar w:fldCharType="end"/>
      </w:r>
    </w:p>
    <w:p w14:paraId="3C47EC4B">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_Toc26274 </w:instrText>
      </w:r>
      <w:r>
        <w:rPr>
          <w:rFonts w:ascii="微软雅黑" w:hAnsi="微软雅黑"/>
        </w:rPr>
        <w:fldChar w:fldCharType="separate"/>
      </w:r>
      <w:r>
        <w:rPr>
          <w:rFonts w:hint="eastAsia"/>
        </w:rPr>
        <w:t>1.4 更多资源</w:t>
      </w:r>
      <w:r>
        <w:tab/>
      </w:r>
      <w:r>
        <w:fldChar w:fldCharType="begin"/>
      </w:r>
      <w:r>
        <w:instrText xml:space="preserve"> PAGEREF _Toc26274 \h </w:instrText>
      </w:r>
      <w:r>
        <w:fldChar w:fldCharType="separate"/>
      </w:r>
      <w:r>
        <w:t>1</w:t>
      </w:r>
      <w:r>
        <w:fldChar w:fldCharType="end"/>
      </w:r>
      <w:r>
        <w:rPr>
          <w:rFonts w:ascii="微软雅黑" w:hAnsi="微软雅黑"/>
        </w:rPr>
        <w:fldChar w:fldCharType="end"/>
      </w:r>
    </w:p>
    <w:p w14:paraId="6181992C">
      <w:pPr>
        <w:pStyle w:val="13"/>
        <w:tabs>
          <w:tab w:val="right" w:leader="dot" w:pos="10114"/>
          <w:tab w:val="clear" w:pos="10104"/>
        </w:tabs>
      </w:pPr>
      <w:r>
        <w:rPr>
          <w:rFonts w:ascii="微软雅黑" w:hAnsi="微软雅黑"/>
        </w:rPr>
        <w:fldChar w:fldCharType="begin"/>
      </w:r>
      <w:r>
        <w:rPr>
          <w:rFonts w:ascii="微软雅黑" w:hAnsi="微软雅黑"/>
        </w:rPr>
        <w:instrText xml:space="preserve"> HYPERLINK \l _Toc30706 </w:instrText>
      </w:r>
      <w:r>
        <w:rPr>
          <w:rFonts w:ascii="微软雅黑" w:hAnsi="微软雅黑"/>
        </w:rPr>
        <w:fldChar w:fldCharType="separate"/>
      </w:r>
      <w:r>
        <w:rPr>
          <w:rFonts w:hint="eastAsia"/>
        </w:rPr>
        <w:t>PART2 公文收文流转实例</w:t>
      </w:r>
      <w:r>
        <w:tab/>
      </w:r>
      <w:r>
        <w:fldChar w:fldCharType="begin"/>
      </w:r>
      <w:r>
        <w:instrText xml:space="preserve"> PAGEREF _Toc30706 \h </w:instrText>
      </w:r>
      <w:r>
        <w:fldChar w:fldCharType="separate"/>
      </w:r>
      <w:r>
        <w:t>3</w:t>
      </w:r>
      <w:r>
        <w:fldChar w:fldCharType="end"/>
      </w:r>
      <w:r>
        <w:rPr>
          <w:rFonts w:ascii="微软雅黑" w:hAnsi="微软雅黑"/>
        </w:rPr>
        <w:fldChar w:fldCharType="end"/>
      </w:r>
    </w:p>
    <w:p w14:paraId="391E98A3">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_Toc26330 </w:instrText>
      </w:r>
      <w:r>
        <w:rPr>
          <w:rFonts w:ascii="微软雅黑" w:hAnsi="微软雅黑"/>
        </w:rPr>
        <w:fldChar w:fldCharType="separate"/>
      </w:r>
      <w:r>
        <w:rPr>
          <w:rFonts w:hint="eastAsia" w:cs="Times New Roman"/>
        </w:rPr>
        <w:t>2.1 概述</w:t>
      </w:r>
      <w:r>
        <w:tab/>
      </w:r>
      <w:r>
        <w:fldChar w:fldCharType="begin"/>
      </w:r>
      <w:r>
        <w:instrText xml:space="preserve"> PAGEREF _Toc26330 \h </w:instrText>
      </w:r>
      <w:r>
        <w:fldChar w:fldCharType="separate"/>
      </w:r>
      <w:r>
        <w:t>3</w:t>
      </w:r>
      <w:r>
        <w:fldChar w:fldCharType="end"/>
      </w:r>
      <w:r>
        <w:rPr>
          <w:rFonts w:ascii="微软雅黑" w:hAnsi="微软雅黑"/>
        </w:rPr>
        <w:fldChar w:fldCharType="end"/>
      </w:r>
    </w:p>
    <w:p w14:paraId="511247D8">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_Toc3849 </w:instrText>
      </w:r>
      <w:r>
        <w:rPr>
          <w:rFonts w:ascii="微软雅黑" w:hAnsi="微软雅黑"/>
        </w:rPr>
        <w:fldChar w:fldCharType="separate"/>
      </w:r>
      <w:r>
        <w:rPr>
          <w:rFonts w:hint="eastAsia" w:cs="Times New Roman"/>
        </w:rPr>
        <w:t>2.2 收文登记</w:t>
      </w:r>
      <w:r>
        <w:tab/>
      </w:r>
      <w:r>
        <w:fldChar w:fldCharType="begin"/>
      </w:r>
      <w:r>
        <w:instrText xml:space="preserve"> PAGEREF _Toc3849 \h </w:instrText>
      </w:r>
      <w:r>
        <w:fldChar w:fldCharType="separate"/>
      </w:r>
      <w:r>
        <w:t>3</w:t>
      </w:r>
      <w:r>
        <w:fldChar w:fldCharType="end"/>
      </w:r>
      <w:r>
        <w:rPr>
          <w:rFonts w:ascii="微软雅黑" w:hAnsi="微软雅黑"/>
        </w:rPr>
        <w:fldChar w:fldCharType="end"/>
      </w:r>
    </w:p>
    <w:p w14:paraId="7B364219">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_Toc24442 </w:instrText>
      </w:r>
      <w:r>
        <w:rPr>
          <w:rFonts w:ascii="微软雅黑" w:hAnsi="微软雅黑"/>
        </w:rPr>
        <w:fldChar w:fldCharType="separate"/>
      </w:r>
      <w:r>
        <w:rPr>
          <w:rFonts w:hint="eastAsia" w:cs="Times New Roman"/>
        </w:rPr>
        <w:t>2.2.1填写收文单</w:t>
      </w:r>
      <w:r>
        <w:tab/>
      </w:r>
      <w:r>
        <w:fldChar w:fldCharType="begin"/>
      </w:r>
      <w:r>
        <w:instrText xml:space="preserve"> PAGEREF _Toc24442 \h </w:instrText>
      </w:r>
      <w:r>
        <w:fldChar w:fldCharType="separate"/>
      </w:r>
      <w:r>
        <w:t>5</w:t>
      </w:r>
      <w:r>
        <w:fldChar w:fldCharType="end"/>
      </w:r>
      <w:r>
        <w:rPr>
          <w:rFonts w:ascii="微软雅黑" w:hAnsi="微软雅黑"/>
        </w:rPr>
        <w:fldChar w:fldCharType="end"/>
      </w:r>
    </w:p>
    <w:p w14:paraId="7C3323D8">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_Toc23582 </w:instrText>
      </w:r>
      <w:r>
        <w:rPr>
          <w:rFonts w:ascii="微软雅黑" w:hAnsi="微软雅黑"/>
        </w:rPr>
        <w:fldChar w:fldCharType="separate"/>
      </w:r>
      <w:r>
        <w:rPr>
          <w:rFonts w:hint="eastAsia" w:cs="Times New Roman"/>
        </w:rPr>
        <w:t>2.2.2发送申请</w:t>
      </w:r>
      <w:r>
        <w:tab/>
      </w:r>
      <w:r>
        <w:fldChar w:fldCharType="begin"/>
      </w:r>
      <w:r>
        <w:instrText xml:space="preserve"> PAGEREF _Toc23582 \h </w:instrText>
      </w:r>
      <w:r>
        <w:fldChar w:fldCharType="separate"/>
      </w:r>
      <w:r>
        <w:t>7</w:t>
      </w:r>
      <w:r>
        <w:fldChar w:fldCharType="end"/>
      </w:r>
      <w:r>
        <w:rPr>
          <w:rFonts w:ascii="微软雅黑" w:hAnsi="微软雅黑"/>
        </w:rPr>
        <w:fldChar w:fldCharType="end"/>
      </w:r>
    </w:p>
    <w:p w14:paraId="60227F1D">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_Toc379 </w:instrText>
      </w:r>
      <w:r>
        <w:rPr>
          <w:rFonts w:ascii="微软雅黑" w:hAnsi="微软雅黑"/>
        </w:rPr>
        <w:fldChar w:fldCharType="separate"/>
      </w:r>
      <w:r>
        <w:rPr>
          <w:rFonts w:hint="eastAsia" w:cs="Times New Roman"/>
        </w:rPr>
        <w:t>2.2.3其他相关功能</w:t>
      </w:r>
      <w:r>
        <w:tab/>
      </w:r>
      <w:r>
        <w:fldChar w:fldCharType="begin"/>
      </w:r>
      <w:r>
        <w:instrText xml:space="preserve"> PAGEREF _Toc379 \h </w:instrText>
      </w:r>
      <w:r>
        <w:fldChar w:fldCharType="separate"/>
      </w:r>
      <w:r>
        <w:t>8</w:t>
      </w:r>
      <w:r>
        <w:fldChar w:fldCharType="end"/>
      </w:r>
      <w:r>
        <w:rPr>
          <w:rFonts w:ascii="微软雅黑" w:hAnsi="微软雅黑"/>
        </w:rPr>
        <w:fldChar w:fldCharType="end"/>
      </w:r>
    </w:p>
    <w:p w14:paraId="5E31C40F">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_Toc20472 </w:instrText>
      </w:r>
      <w:r>
        <w:rPr>
          <w:rFonts w:ascii="微软雅黑" w:hAnsi="微软雅黑"/>
        </w:rPr>
        <w:fldChar w:fldCharType="separate"/>
      </w:r>
      <w:r>
        <w:rPr>
          <w:rFonts w:hint="eastAsia" w:cs="Times New Roman"/>
        </w:rPr>
        <w:t>2.3 待办收文</w:t>
      </w:r>
      <w:r>
        <w:tab/>
      </w:r>
      <w:r>
        <w:fldChar w:fldCharType="begin"/>
      </w:r>
      <w:r>
        <w:instrText xml:space="preserve"> PAGEREF _Toc20472 \h </w:instrText>
      </w:r>
      <w:r>
        <w:fldChar w:fldCharType="separate"/>
      </w:r>
      <w:r>
        <w:t>16</w:t>
      </w:r>
      <w:r>
        <w:fldChar w:fldCharType="end"/>
      </w:r>
      <w:r>
        <w:rPr>
          <w:rFonts w:ascii="微软雅黑" w:hAnsi="微软雅黑"/>
        </w:rPr>
        <w:fldChar w:fldCharType="end"/>
      </w:r>
    </w:p>
    <w:p w14:paraId="741F9E6C">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_Toc14196 </w:instrText>
      </w:r>
      <w:r>
        <w:rPr>
          <w:rFonts w:ascii="微软雅黑" w:hAnsi="微软雅黑"/>
        </w:rPr>
        <w:fldChar w:fldCharType="separate"/>
      </w:r>
      <w:r>
        <w:rPr>
          <w:rFonts w:hint="eastAsia" w:cs="Times New Roman"/>
        </w:rPr>
        <w:t>2.3.1收文审批处理</w:t>
      </w:r>
      <w:r>
        <w:tab/>
      </w:r>
      <w:r>
        <w:fldChar w:fldCharType="begin"/>
      </w:r>
      <w:r>
        <w:instrText xml:space="preserve"> PAGEREF _Toc14196 \h </w:instrText>
      </w:r>
      <w:r>
        <w:fldChar w:fldCharType="separate"/>
      </w:r>
      <w:r>
        <w:t>17</w:t>
      </w:r>
      <w:r>
        <w:fldChar w:fldCharType="end"/>
      </w:r>
      <w:r>
        <w:rPr>
          <w:rFonts w:ascii="微软雅黑" w:hAnsi="微软雅黑"/>
        </w:rPr>
        <w:fldChar w:fldCharType="end"/>
      </w:r>
    </w:p>
    <w:p w14:paraId="004CCBDA">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_Toc7187 </w:instrText>
      </w:r>
      <w:r>
        <w:rPr>
          <w:rFonts w:ascii="微软雅黑" w:hAnsi="微软雅黑"/>
        </w:rPr>
        <w:fldChar w:fldCharType="separate"/>
      </w:r>
      <w:r>
        <w:rPr>
          <w:rFonts w:hint="eastAsia" w:cs="Times New Roman"/>
        </w:rPr>
        <w:t>2.3.2转发</w:t>
      </w:r>
      <w:r>
        <w:tab/>
      </w:r>
      <w:r>
        <w:fldChar w:fldCharType="begin"/>
      </w:r>
      <w:r>
        <w:instrText xml:space="preserve"> PAGEREF _Toc7187 \h </w:instrText>
      </w:r>
      <w:r>
        <w:fldChar w:fldCharType="separate"/>
      </w:r>
      <w:r>
        <w:t>18</w:t>
      </w:r>
      <w:r>
        <w:fldChar w:fldCharType="end"/>
      </w:r>
      <w:r>
        <w:rPr>
          <w:rFonts w:ascii="微软雅黑" w:hAnsi="微软雅黑"/>
        </w:rPr>
        <w:fldChar w:fldCharType="end"/>
      </w:r>
    </w:p>
    <w:p w14:paraId="53EE32D7">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_Toc8493 </w:instrText>
      </w:r>
      <w:r>
        <w:rPr>
          <w:rFonts w:ascii="微软雅黑" w:hAnsi="微软雅黑"/>
        </w:rPr>
        <w:fldChar w:fldCharType="separate"/>
      </w:r>
      <w:r>
        <w:rPr>
          <w:rFonts w:hint="eastAsia" w:cs="Times New Roman"/>
        </w:rPr>
        <w:t>2.3.3批量审批</w:t>
      </w:r>
      <w:r>
        <w:tab/>
      </w:r>
      <w:r>
        <w:fldChar w:fldCharType="begin"/>
      </w:r>
      <w:r>
        <w:instrText xml:space="preserve"> PAGEREF _Toc8493 \h </w:instrText>
      </w:r>
      <w:r>
        <w:fldChar w:fldCharType="separate"/>
      </w:r>
      <w:r>
        <w:t>19</w:t>
      </w:r>
      <w:r>
        <w:fldChar w:fldCharType="end"/>
      </w:r>
      <w:r>
        <w:rPr>
          <w:rFonts w:ascii="微软雅黑" w:hAnsi="微软雅黑"/>
        </w:rPr>
        <w:fldChar w:fldCharType="end"/>
      </w:r>
    </w:p>
    <w:p w14:paraId="772D13FE">
      <w:pPr>
        <w:pStyle w:val="9"/>
        <w:tabs>
          <w:tab w:val="right" w:leader="dot" w:pos="10114"/>
          <w:tab w:val="clear" w:pos="10104"/>
        </w:tabs>
      </w:pPr>
      <w:r>
        <w:rPr>
          <w:rFonts w:ascii="微软雅黑" w:hAnsi="微软雅黑"/>
        </w:rPr>
        <w:fldChar w:fldCharType="begin"/>
      </w:r>
      <w:r>
        <w:rPr>
          <w:rFonts w:ascii="微软雅黑" w:hAnsi="微软雅黑"/>
        </w:rPr>
        <w:instrText xml:space="preserve"> HYPERLINK \l _Toc11373 </w:instrText>
      </w:r>
      <w:r>
        <w:rPr>
          <w:rFonts w:ascii="微软雅黑" w:hAnsi="微软雅黑"/>
        </w:rPr>
        <w:fldChar w:fldCharType="separate"/>
      </w:r>
      <w:r>
        <w:rPr>
          <w:rFonts w:hint="eastAsia" w:cs="Times New Roman"/>
        </w:rPr>
        <w:t>2.3.4关注</w:t>
      </w:r>
      <w:r>
        <w:tab/>
      </w:r>
      <w:r>
        <w:fldChar w:fldCharType="begin"/>
      </w:r>
      <w:r>
        <w:instrText xml:space="preserve"> PAGEREF _Toc11373 \h </w:instrText>
      </w:r>
      <w:r>
        <w:fldChar w:fldCharType="separate"/>
      </w:r>
      <w:r>
        <w:t>20</w:t>
      </w:r>
      <w:r>
        <w:fldChar w:fldCharType="end"/>
      </w:r>
      <w:r>
        <w:rPr>
          <w:rFonts w:ascii="微软雅黑" w:hAnsi="微软雅黑"/>
        </w:rPr>
        <w:fldChar w:fldCharType="end"/>
      </w:r>
    </w:p>
    <w:p w14:paraId="06FB607F">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_Toc24757 </w:instrText>
      </w:r>
      <w:r>
        <w:rPr>
          <w:rFonts w:ascii="微软雅黑" w:hAnsi="微软雅黑"/>
        </w:rPr>
        <w:fldChar w:fldCharType="separate"/>
      </w:r>
      <w:r>
        <w:rPr>
          <w:rFonts w:hint="eastAsia" w:cs="Times New Roman"/>
        </w:rPr>
        <w:t>2.4 待阅收文</w:t>
      </w:r>
      <w:r>
        <w:tab/>
      </w:r>
      <w:r>
        <w:fldChar w:fldCharType="begin"/>
      </w:r>
      <w:r>
        <w:instrText xml:space="preserve"> PAGEREF _Toc24757 \h </w:instrText>
      </w:r>
      <w:r>
        <w:fldChar w:fldCharType="separate"/>
      </w:r>
      <w:r>
        <w:t>20</w:t>
      </w:r>
      <w:r>
        <w:fldChar w:fldCharType="end"/>
      </w:r>
      <w:r>
        <w:rPr>
          <w:rFonts w:ascii="微软雅黑" w:hAnsi="微软雅黑"/>
        </w:rPr>
        <w:fldChar w:fldCharType="end"/>
      </w:r>
    </w:p>
    <w:p w14:paraId="7E6C5549">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_Toc4279 </w:instrText>
      </w:r>
      <w:r>
        <w:rPr>
          <w:rFonts w:ascii="微软雅黑" w:hAnsi="微软雅黑"/>
        </w:rPr>
        <w:fldChar w:fldCharType="separate"/>
      </w:r>
      <w:r>
        <w:rPr>
          <w:rFonts w:hint="eastAsia" w:cs="Times New Roman"/>
        </w:rPr>
        <w:t>2.5 经办收文</w:t>
      </w:r>
      <w:r>
        <w:tab/>
      </w:r>
      <w:r>
        <w:fldChar w:fldCharType="begin"/>
      </w:r>
      <w:r>
        <w:instrText xml:space="preserve"> PAGEREF _Toc4279 \h </w:instrText>
      </w:r>
      <w:r>
        <w:fldChar w:fldCharType="separate"/>
      </w:r>
      <w:r>
        <w:t>22</w:t>
      </w:r>
      <w:r>
        <w:fldChar w:fldCharType="end"/>
      </w:r>
      <w:r>
        <w:rPr>
          <w:rFonts w:ascii="微软雅黑" w:hAnsi="微软雅黑"/>
        </w:rPr>
        <w:fldChar w:fldCharType="end"/>
      </w:r>
    </w:p>
    <w:p w14:paraId="64A9FC6D">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_Toc27985 </w:instrText>
      </w:r>
      <w:r>
        <w:rPr>
          <w:rFonts w:ascii="微软雅黑" w:hAnsi="微软雅黑"/>
        </w:rPr>
        <w:fldChar w:fldCharType="separate"/>
      </w:r>
      <w:r>
        <w:rPr>
          <w:rFonts w:hint="eastAsia" w:cs="Times New Roman"/>
        </w:rPr>
        <w:t>2.6 承办收文</w:t>
      </w:r>
      <w:r>
        <w:tab/>
      </w:r>
      <w:r>
        <w:fldChar w:fldCharType="begin"/>
      </w:r>
      <w:r>
        <w:instrText xml:space="preserve"> PAGEREF _Toc27985 \h </w:instrText>
      </w:r>
      <w:r>
        <w:fldChar w:fldCharType="separate"/>
      </w:r>
      <w:r>
        <w:t>23</w:t>
      </w:r>
      <w:r>
        <w:fldChar w:fldCharType="end"/>
      </w:r>
      <w:r>
        <w:rPr>
          <w:rFonts w:ascii="微软雅黑" w:hAnsi="微软雅黑"/>
        </w:rPr>
        <w:fldChar w:fldCharType="end"/>
      </w:r>
    </w:p>
    <w:p w14:paraId="008E729A">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_Toc22549 </w:instrText>
      </w:r>
      <w:r>
        <w:rPr>
          <w:rFonts w:ascii="微软雅黑" w:hAnsi="微软雅黑"/>
        </w:rPr>
        <w:fldChar w:fldCharType="separate"/>
      </w:r>
      <w:r>
        <w:rPr>
          <w:rFonts w:hint="eastAsia" w:cs="Times New Roman"/>
        </w:rPr>
        <w:t>2.7 收文关注</w:t>
      </w:r>
      <w:r>
        <w:tab/>
      </w:r>
      <w:r>
        <w:fldChar w:fldCharType="begin"/>
      </w:r>
      <w:r>
        <w:instrText xml:space="preserve"> PAGEREF _Toc22549 \h </w:instrText>
      </w:r>
      <w:r>
        <w:fldChar w:fldCharType="separate"/>
      </w:r>
      <w:r>
        <w:t>25</w:t>
      </w:r>
      <w:r>
        <w:fldChar w:fldCharType="end"/>
      </w:r>
      <w:r>
        <w:rPr>
          <w:rFonts w:ascii="微软雅黑" w:hAnsi="微软雅黑"/>
        </w:rPr>
        <w:fldChar w:fldCharType="end"/>
      </w:r>
    </w:p>
    <w:p w14:paraId="56F3A566">
      <w:pPr>
        <w:pStyle w:val="15"/>
        <w:tabs>
          <w:tab w:val="right" w:leader="dot" w:pos="10114"/>
          <w:tab w:val="clear" w:pos="10104"/>
        </w:tabs>
      </w:pPr>
      <w:r>
        <w:rPr>
          <w:rFonts w:ascii="微软雅黑" w:hAnsi="微软雅黑"/>
        </w:rPr>
        <w:fldChar w:fldCharType="begin"/>
      </w:r>
      <w:r>
        <w:rPr>
          <w:rFonts w:ascii="微软雅黑" w:hAnsi="微软雅黑"/>
        </w:rPr>
        <w:instrText xml:space="preserve"> HYPERLINK \l _Toc702 </w:instrText>
      </w:r>
      <w:r>
        <w:rPr>
          <w:rFonts w:ascii="微软雅黑" w:hAnsi="微软雅黑"/>
        </w:rPr>
        <w:fldChar w:fldCharType="separate"/>
      </w:r>
      <w:r>
        <w:rPr>
          <w:rFonts w:hint="eastAsia" w:cs="Times New Roman"/>
        </w:rPr>
        <w:t>2.8 转发查阅</w:t>
      </w:r>
      <w:r>
        <w:tab/>
      </w:r>
      <w:r>
        <w:fldChar w:fldCharType="begin"/>
      </w:r>
      <w:r>
        <w:instrText xml:space="preserve"> PAGEREF _Toc702 \h </w:instrText>
      </w:r>
      <w:r>
        <w:fldChar w:fldCharType="separate"/>
      </w:r>
      <w:r>
        <w:t>26</w:t>
      </w:r>
      <w:r>
        <w:fldChar w:fldCharType="end"/>
      </w:r>
      <w:r>
        <w:rPr>
          <w:rFonts w:ascii="微软雅黑" w:hAnsi="微软雅黑"/>
        </w:rPr>
        <w:fldChar w:fldCharType="end"/>
      </w:r>
    </w:p>
    <w:p w14:paraId="12097954">
      <w:pPr>
        <w:widowControl/>
        <w:adjustRightInd/>
        <w:snapToGrid/>
        <w:spacing w:beforeLines="0" w:afterLines="0" w:line="240" w:lineRule="auto"/>
        <w:ind w:firstLine="0" w:firstLineChars="0"/>
        <w:jc w:val="left"/>
        <w:sectPr>
          <w:headerReference r:id="rId13" w:type="first"/>
          <w:footerReference r:id="rId16" w:type="first"/>
          <w:headerReference r:id="rId11" w:type="default"/>
          <w:footerReference r:id="rId14" w:type="default"/>
          <w:headerReference r:id="rId12" w:type="even"/>
          <w:footerReference r:id="rId15" w:type="even"/>
          <w:pgSz w:w="11906" w:h="16838"/>
          <w:pgMar w:top="1559" w:right="896" w:bottom="777" w:left="896" w:header="851" w:footer="992" w:gutter="0"/>
          <w:pgNumType w:start="1"/>
          <w:cols w:space="720" w:num="1"/>
          <w:docGrid w:type="lines" w:linePitch="312" w:charSpace="0"/>
        </w:sectPr>
      </w:pPr>
      <w:r>
        <w:rPr>
          <w:rFonts w:ascii="微软雅黑" w:hAnsi="微软雅黑"/>
        </w:rPr>
        <w:fldChar w:fldCharType="end"/>
      </w:r>
    </w:p>
    <w:p w14:paraId="194D9472">
      <w:pPr>
        <w:pStyle w:val="3"/>
        <w:numPr>
          <w:ilvl w:val="0"/>
          <w:numId w:val="5"/>
        </w:numPr>
        <w:spacing w:after="249"/>
      </w:pPr>
      <w:bookmarkStart w:id="2" w:name="_Toc20211"/>
      <w:r>
        <w:rPr>
          <w:rFonts w:hint="eastAsia"/>
        </w:rPr>
        <w:t>前言</w:t>
      </w:r>
      <w:bookmarkEnd w:id="2"/>
    </w:p>
    <w:p w14:paraId="224F31F9">
      <w:pPr>
        <w:pStyle w:val="4"/>
        <w:numPr>
          <w:ilvl w:val="1"/>
          <w:numId w:val="6"/>
        </w:numPr>
        <w:ind w:left="0"/>
      </w:pPr>
      <w:bookmarkStart w:id="3" w:name="_Toc13099"/>
      <w:r>
        <w:rPr>
          <w:rFonts w:hint="eastAsia"/>
        </w:rPr>
        <w:t>关于本文档</w:t>
      </w:r>
      <w:bookmarkEnd w:id="3"/>
    </w:p>
    <w:p w14:paraId="2011A31D">
      <w:pPr>
        <w:spacing w:before="93" w:after="93"/>
        <w:ind w:firstLine="420"/>
      </w:pPr>
      <w:r>
        <w:rPr>
          <w:rFonts w:hint="eastAsia" w:ascii="微软雅黑" w:hAnsi="微软雅黑"/>
        </w:rPr>
        <w:t>本文档是华天动力协同</w:t>
      </w:r>
      <w:r>
        <w:rPr>
          <w:rFonts w:hint="eastAsia"/>
        </w:rPr>
        <w:t>OA</w:t>
      </w:r>
      <w:r>
        <w:rPr>
          <w:rFonts w:hint="eastAsia" w:ascii="微软雅黑" w:hAnsi="微软雅黑"/>
        </w:rPr>
        <w:t>系统</w:t>
      </w:r>
      <w:r>
        <w:rPr>
          <w:rFonts w:hint="eastAsia"/>
        </w:rPr>
        <w:t>V1</w:t>
      </w:r>
      <w:r>
        <w:rPr>
          <w:rFonts w:hint="eastAsia"/>
          <w:lang w:val="en-US" w:eastAsia="zh-CN"/>
        </w:rPr>
        <w:t>1</w:t>
      </w:r>
      <w:r>
        <w:rPr>
          <w:rFonts w:hint="eastAsia" w:ascii="微软雅黑" w:hAnsi="微软雅黑"/>
        </w:rPr>
        <w:t>版本的公文收文模块的前端使用手册，主要为了指导普通用户和公文收文业务管理专员使用本产品而编写。</w:t>
      </w:r>
    </w:p>
    <w:p w14:paraId="57D57A8F">
      <w:pPr>
        <w:pStyle w:val="4"/>
        <w:numPr>
          <w:ilvl w:val="1"/>
          <w:numId w:val="6"/>
        </w:numPr>
        <w:ind w:left="0"/>
      </w:pPr>
      <w:bookmarkStart w:id="4" w:name="_Toc26982"/>
      <w:r>
        <w:rPr>
          <w:rFonts w:hint="eastAsia"/>
        </w:rPr>
        <w:t>文档结构</w:t>
      </w:r>
      <w:bookmarkEnd w:id="4"/>
    </w:p>
    <w:p w14:paraId="11472BEF">
      <w:pPr>
        <w:spacing w:before="93" w:after="93"/>
        <w:ind w:firstLine="420"/>
      </w:pPr>
      <w:r>
        <w:rPr>
          <w:rFonts w:hint="eastAsia" w:ascii="微软雅黑" w:hAnsi="微软雅黑"/>
        </w:rPr>
        <w:t xml:space="preserve">华天动力协同 </w:t>
      </w:r>
      <w:r>
        <w:t>OA</w:t>
      </w:r>
      <w:r>
        <w:rPr>
          <w:rFonts w:hint="eastAsia" w:ascii="微软雅黑" w:hAnsi="微软雅黑"/>
        </w:rPr>
        <w:t xml:space="preserve"> 系统是一个适用于单位内部，帮助人与人、部门与部门之间完成高效办公、信息共享、科学管理且便捷使用的系统。为了能够快速了解、掌握系统的应用，我们提供了华天动力协同 </w:t>
      </w:r>
      <w:r>
        <w:t>OA</w:t>
      </w:r>
      <w:r>
        <w:rPr>
          <w:rFonts w:hint="eastAsia" w:ascii="微软雅黑" w:hAnsi="微软雅黑"/>
        </w:rPr>
        <w:t xml:space="preserve"> 系统的说明书。说明书由用户操作、管理员维护两个分类组成，用户操作适用于普通用户进入系统后进行的各类应用性的操作，管理员维护用于系统管理员及各模块管理员对系统或指定模块的维护说明。</w:t>
      </w:r>
    </w:p>
    <w:p w14:paraId="4DCC6031">
      <w:pPr>
        <w:spacing w:before="93" w:after="93"/>
        <w:ind w:firstLine="420"/>
        <w:rPr>
          <w:rFonts w:ascii="微软雅黑" w:hAnsi="微软雅黑"/>
        </w:rPr>
      </w:pPr>
      <w:r>
        <w:rPr>
          <w:rFonts w:hint="eastAsia" w:ascii="微软雅黑" w:hAnsi="微软雅黑"/>
        </w:rPr>
        <w:t>本文档为普通用户和公文收文业务管理专员对公文收文模块进行应用性使用的功能说明，通过对本文档的学习，普通用户和公文收文业务管理专员能够掌握掌握收文登记、拟办、批示、分发、收文催办等功能的使用和日常管理。</w:t>
      </w:r>
    </w:p>
    <w:p w14:paraId="0BDA4B53">
      <w:pPr>
        <w:pStyle w:val="4"/>
        <w:numPr>
          <w:ilvl w:val="1"/>
          <w:numId w:val="6"/>
        </w:numPr>
        <w:ind w:left="0"/>
      </w:pPr>
      <w:bookmarkStart w:id="5" w:name="_Toc14458"/>
      <w:r>
        <w:rPr>
          <w:rFonts w:hint="eastAsia"/>
        </w:rPr>
        <w:t>针对用户</w:t>
      </w:r>
      <w:bookmarkEnd w:id="5"/>
    </w:p>
    <w:p w14:paraId="384BF7C2">
      <w:pPr>
        <w:spacing w:before="93" w:after="93"/>
        <w:ind w:firstLine="420"/>
      </w:pPr>
      <w:r>
        <w:rPr>
          <w:rFonts w:hint="eastAsia" w:ascii="微软雅黑" w:hAnsi="微软雅黑"/>
        </w:rPr>
        <w:t>本手册针对华天动力协同</w:t>
      </w:r>
      <w:r>
        <w:rPr>
          <w:rFonts w:hint="eastAsia"/>
        </w:rPr>
        <w:t>OA</w:t>
      </w:r>
      <w:r>
        <w:rPr>
          <w:rFonts w:hint="eastAsia" w:ascii="微软雅黑" w:hAnsi="微软雅黑"/>
        </w:rPr>
        <w:t>系统的系统管理员及模块功能使用人员，模块功能使用人员需具备基本的计算机操作技能，熟悉</w:t>
      </w:r>
      <w:r>
        <w:rPr>
          <w:rFonts w:hint="eastAsia"/>
        </w:rPr>
        <w:t>Windows</w:t>
      </w:r>
      <w:r>
        <w:rPr>
          <w:rFonts w:hint="eastAsia" w:ascii="微软雅黑" w:hAnsi="微软雅黑"/>
        </w:rPr>
        <w:t>操作环境</w:t>
      </w:r>
      <w:r>
        <w:t>并且已经掌握基本的软件操作方法，掌握Internet Explorer</w:t>
      </w:r>
      <w:r>
        <w:rPr>
          <w:rFonts w:ascii="微软雅黑" w:hAnsi="微软雅黑"/>
        </w:rPr>
        <w:t>浏览器的基本使用</w:t>
      </w:r>
      <w:r>
        <w:rPr>
          <w:rFonts w:hint="eastAsia" w:ascii="微软雅黑" w:hAnsi="微软雅黑"/>
        </w:rPr>
        <w:t>，系统管理员还必须对数据库有基本的了解。</w:t>
      </w:r>
    </w:p>
    <w:p w14:paraId="02B917F8">
      <w:pPr>
        <w:pStyle w:val="4"/>
        <w:numPr>
          <w:ilvl w:val="1"/>
          <w:numId w:val="6"/>
        </w:numPr>
        <w:ind w:left="0"/>
      </w:pPr>
      <w:bookmarkStart w:id="6" w:name="_Toc26274"/>
      <w:r>
        <w:rPr>
          <w:rFonts w:hint="eastAsia"/>
        </w:rPr>
        <w:t>更多资源</w:t>
      </w:r>
      <w:bookmarkEnd w:id="6"/>
    </w:p>
    <w:p w14:paraId="4E6DE044">
      <w:pPr>
        <w:spacing w:before="93" w:after="93"/>
        <w:ind w:firstLine="420"/>
        <w:rPr>
          <w:rFonts w:ascii="微软雅黑" w:hAnsi="微软雅黑"/>
        </w:rPr>
      </w:pPr>
      <w:r>
        <w:t>本手册涵盖</w:t>
      </w:r>
      <w:r>
        <w:rPr>
          <w:rFonts w:hint="eastAsia" w:ascii="微软雅黑" w:hAnsi="微软雅黑"/>
        </w:rPr>
        <w:t>华天动力协同</w:t>
      </w:r>
      <w:r>
        <w:rPr>
          <w:rFonts w:hint="eastAsia"/>
        </w:rPr>
        <w:t>OA</w:t>
      </w:r>
      <w:r>
        <w:rPr>
          <w:rFonts w:hint="eastAsia" w:ascii="微软雅黑" w:hAnsi="微软雅黑"/>
        </w:rPr>
        <w:t>系统</w:t>
      </w:r>
      <w:r>
        <w:t>功能的</w:t>
      </w:r>
      <w:r>
        <w:rPr>
          <w:rFonts w:hint="eastAsia" w:ascii="微软雅黑" w:hAnsi="微软雅黑"/>
        </w:rPr>
        <w:t>后台维护和配置操作</w:t>
      </w:r>
      <w:r>
        <w:t>指导，如果您能够详细的阅读本手册，就可以</w:t>
      </w:r>
      <w:r>
        <w:rPr>
          <w:rFonts w:hint="eastAsia" w:ascii="微软雅黑" w:hAnsi="微软雅黑"/>
        </w:rPr>
        <w:t>对华天动力协同</w:t>
      </w:r>
      <w:r>
        <w:rPr>
          <w:rFonts w:hint="eastAsia"/>
        </w:rPr>
        <w:t>OA</w:t>
      </w:r>
      <w:r>
        <w:rPr>
          <w:rFonts w:hint="eastAsia" w:ascii="微软雅黑" w:hAnsi="微软雅黑"/>
        </w:rPr>
        <w:t>系统进行日常的维护</w:t>
      </w:r>
      <w:r>
        <w:t>工作。</w:t>
      </w:r>
      <w:r>
        <w:rPr>
          <w:rFonts w:hint="eastAsia" w:ascii="微软雅黑" w:hAnsi="微软雅黑"/>
        </w:rPr>
        <w:t>同时我们还</w:t>
      </w:r>
      <w:r>
        <w:t>向用户提供多种帮助资源，以便您能够熟练使用本产品，从而感受到它的快捷易用。您可以根据实际情况，选择其中适应的方式。</w:t>
      </w:r>
    </w:p>
    <w:p w14:paraId="6F4B9F46">
      <w:pPr>
        <w:pStyle w:val="24"/>
        <w:numPr>
          <w:ilvl w:val="0"/>
          <w:numId w:val="7"/>
        </w:numPr>
        <w:ind w:firstLine="0"/>
        <w:rPr>
          <w:rFonts w:ascii="微软雅黑" w:hAnsi="微软雅黑"/>
        </w:rPr>
      </w:pPr>
      <w:r>
        <w:rPr>
          <w:rFonts w:hint="eastAsia" w:ascii="微软雅黑" w:hAnsi="微软雅黑"/>
        </w:rPr>
        <w:t>产品培训</w:t>
      </w:r>
    </w:p>
    <w:p w14:paraId="1B12A8CE">
      <w:pPr>
        <w:spacing w:before="93" w:after="93"/>
        <w:ind w:firstLine="420"/>
        <w:rPr>
          <w:rFonts w:ascii="微软雅黑" w:hAnsi="微软雅黑"/>
        </w:rPr>
      </w:pPr>
      <w:r>
        <w:rPr>
          <w:rFonts w:hint="eastAsia" w:ascii="微软雅黑" w:hAnsi="微软雅黑"/>
        </w:rPr>
        <w:t>系统管理员和模块管理员可参加华天举办的管理员培训，以便系统的学习产品；针对大规模企业用户，大连华天软件有限公司可为其组织上门培训，用户可根据实际情况自行选择培训时间和内容。</w:t>
      </w:r>
    </w:p>
    <w:p w14:paraId="69B6A7C6">
      <w:pPr>
        <w:pStyle w:val="24"/>
        <w:numPr>
          <w:ilvl w:val="0"/>
          <w:numId w:val="7"/>
        </w:numPr>
        <w:ind w:firstLine="0"/>
        <w:rPr>
          <w:rFonts w:ascii="微软雅黑" w:hAnsi="微软雅黑"/>
        </w:rPr>
      </w:pPr>
      <w:r>
        <w:rPr>
          <w:rFonts w:hint="eastAsia" w:ascii="微软雅黑" w:hAnsi="微软雅黑"/>
        </w:rPr>
        <w:t>学习视频课件</w:t>
      </w:r>
    </w:p>
    <w:p w14:paraId="1F28317B">
      <w:pPr>
        <w:spacing w:before="93" w:after="93"/>
        <w:ind w:firstLine="420"/>
        <w:rPr>
          <w:rFonts w:ascii="微软雅黑" w:hAnsi="微软雅黑"/>
        </w:rPr>
      </w:pPr>
      <w:r>
        <w:rPr>
          <w:rFonts w:hint="eastAsia" w:ascii="微软雅黑" w:hAnsi="微软雅黑"/>
        </w:rPr>
        <w:t>大连华天软件有限公司为系统管理员和模块管理员提供视频学习课件，可自行学习产品内容。</w:t>
      </w:r>
    </w:p>
    <w:p w14:paraId="552491E1">
      <w:pPr>
        <w:pStyle w:val="24"/>
        <w:numPr>
          <w:ilvl w:val="0"/>
          <w:numId w:val="7"/>
        </w:numPr>
        <w:ind w:firstLine="0"/>
        <w:rPr>
          <w:rFonts w:ascii="微软雅黑" w:hAnsi="微软雅黑"/>
        </w:rPr>
      </w:pPr>
      <w:r>
        <w:rPr>
          <w:rFonts w:hint="eastAsia" w:ascii="微软雅黑" w:hAnsi="微软雅黑"/>
        </w:rPr>
        <w:t>咨询售后客服</w:t>
      </w:r>
    </w:p>
    <w:p w14:paraId="0695749A">
      <w:pPr>
        <w:spacing w:before="93" w:after="93"/>
        <w:ind w:firstLine="420"/>
        <w:rPr>
          <w:rFonts w:ascii="微软雅黑" w:hAnsi="微软雅黑"/>
        </w:rPr>
      </w:pPr>
      <w:r>
        <w:rPr>
          <w:rFonts w:hint="eastAsia" w:ascii="微软雅黑" w:hAnsi="微软雅黑"/>
        </w:rPr>
        <w:t>终端用户也可根据使用过程中出现的问题，咨询大连华天软件有限公司的售后客服人员，客服可针对具体问题进行详细解答。</w:t>
      </w:r>
    </w:p>
    <w:p w14:paraId="3CE0E6E1">
      <w:r>
        <w:br w:type="page"/>
      </w:r>
    </w:p>
    <w:p w14:paraId="10AFD780">
      <w:pPr>
        <w:pStyle w:val="3"/>
        <w:numPr>
          <w:ilvl w:val="0"/>
          <w:numId w:val="5"/>
        </w:numPr>
        <w:spacing w:after="249"/>
      </w:pPr>
      <w:bookmarkStart w:id="7" w:name="_Toc30706"/>
      <w:bookmarkStart w:id="8" w:name="_Toc317060169"/>
      <w:bookmarkStart w:id="9" w:name="_Toc384719137"/>
      <w:r>
        <w:rPr>
          <w:rFonts w:hint="eastAsia"/>
        </w:rPr>
        <w:t>公文收文流转实例</w:t>
      </w:r>
      <w:bookmarkEnd w:id="7"/>
    </w:p>
    <w:p w14:paraId="70F955B0">
      <w:pPr>
        <w:pStyle w:val="4"/>
        <w:numPr>
          <w:ilvl w:val="1"/>
          <w:numId w:val="6"/>
        </w:numPr>
        <w:ind w:left="0"/>
        <w:rPr>
          <w:rFonts w:cs="Times New Roman"/>
        </w:rPr>
      </w:pPr>
      <w:bookmarkStart w:id="10" w:name="_Toc26330"/>
      <w:bookmarkStart w:id="11" w:name="_Toc19392"/>
      <w:r>
        <w:rPr>
          <w:rFonts w:hint="eastAsia" w:cs="Times New Roman"/>
        </w:rPr>
        <w:t>概述</w:t>
      </w:r>
      <w:bookmarkEnd w:id="10"/>
      <w:bookmarkEnd w:id="11"/>
    </w:p>
    <w:p w14:paraId="723FD0B9">
      <w:pPr>
        <w:spacing w:before="93" w:after="93"/>
        <w:ind w:firstLine="420"/>
      </w:pPr>
      <w:r>
        <w:rPr>
          <w:rFonts w:hint="eastAsia"/>
        </w:rPr>
        <w:t>本章节主要介绍公文收文功能模块的使用操作方法：从如何进行收文登记，已登记收文流转信息的查看，公文收文如何进行拟办、批示等进行整体的展示说明，便于普通用户构建整体的认识和思路，更全面系统的掌握公文收文从登记、拟办、批示、分发到查看等等的使用方法。</w:t>
      </w:r>
    </w:p>
    <w:bookmarkEnd w:id="8"/>
    <w:bookmarkEnd w:id="9"/>
    <w:p w14:paraId="7848B61A">
      <w:pPr>
        <w:pStyle w:val="4"/>
        <w:numPr>
          <w:ilvl w:val="1"/>
          <w:numId w:val="6"/>
        </w:numPr>
        <w:ind w:left="0"/>
        <w:rPr>
          <w:rFonts w:cs="Times New Roman"/>
        </w:rPr>
      </w:pPr>
      <w:bookmarkStart w:id="12" w:name="_Toc423363807"/>
      <w:bookmarkStart w:id="13" w:name="_Toc445302914"/>
      <w:bookmarkStart w:id="14" w:name="_Toc481601781"/>
      <w:bookmarkStart w:id="15" w:name="_Toc3849"/>
      <w:bookmarkStart w:id="16" w:name="_Toc384719138"/>
      <w:r>
        <w:rPr>
          <w:rFonts w:hint="eastAsia" w:cs="Times New Roman"/>
        </w:rPr>
        <w:t>收文登记</w:t>
      </w:r>
      <w:bookmarkEnd w:id="12"/>
      <w:bookmarkEnd w:id="13"/>
      <w:bookmarkEnd w:id="14"/>
      <w:bookmarkEnd w:id="15"/>
      <w:bookmarkEnd w:id="16"/>
    </w:p>
    <w:p w14:paraId="46999D05">
      <w:pPr>
        <w:spacing w:before="93" w:after="93"/>
        <w:ind w:firstLine="420"/>
      </w:pPr>
      <w:r>
        <w:rPr>
          <w:rFonts w:hint="eastAsia"/>
        </w:rPr>
        <w:t>收文登记，所有收到的文件都需要经过收文登记处理，才能转到相关的领导审核。收文登记是提交审核的第一步。</w:t>
      </w:r>
    </w:p>
    <w:p w14:paraId="27A9F8A2">
      <w:pPr>
        <w:spacing w:before="93" w:after="93"/>
        <w:ind w:firstLine="420"/>
      </w:pPr>
      <w:r>
        <w:rPr>
          <w:rFonts w:hint="eastAsia"/>
        </w:rPr>
        <w:t>菜单中，点击【收文登记】进入收文登记画面，在此画面中，当前用户可看到个人已登记的收文。通过‘收文登记’按钮可根据个人的权限及实际需要，自主选择要提交的收文模板进行收文登记工作。</w:t>
      </w:r>
    </w:p>
    <w:p w14:paraId="164B8802">
      <w:pPr>
        <w:spacing w:before="93" w:after="93"/>
        <w:ind w:firstLine="0" w:firstLineChars="0"/>
        <w:jc w:val="center"/>
        <w:rPr>
          <w:rFonts w:hint="eastAsia"/>
        </w:rPr>
      </w:pPr>
      <w:r>
        <w:drawing>
          <wp:inline distT="0" distB="0" distL="114300" distR="114300">
            <wp:extent cx="6416040" cy="3055620"/>
            <wp:effectExtent l="9525" t="9525" r="13335" b="2095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0"/>
                    <a:stretch>
                      <a:fillRect/>
                    </a:stretch>
                  </pic:blipFill>
                  <pic:spPr>
                    <a:xfrm>
                      <a:off x="0" y="0"/>
                      <a:ext cx="6416040" cy="3055620"/>
                    </a:xfrm>
                    <a:prstGeom prst="rect">
                      <a:avLst/>
                    </a:prstGeom>
                    <a:noFill/>
                    <a:ln>
                      <a:solidFill>
                        <a:srgbClr val="EAEAEA"/>
                      </a:solidFill>
                    </a:ln>
                  </pic:spPr>
                </pic:pic>
              </a:graphicData>
            </a:graphic>
          </wp:inline>
        </w:drawing>
      </w:r>
    </w:p>
    <w:p w14:paraId="24DB79C3">
      <w:pPr>
        <w:spacing w:before="93" w:after="93"/>
        <w:ind w:firstLine="0" w:firstLineChars="0"/>
        <w:jc w:val="center"/>
      </w:pPr>
      <w:r>
        <w:rPr>
          <w:rFonts w:hint="eastAsia"/>
        </w:rPr>
        <w:t>图22-1-收文登记画面</w:t>
      </w:r>
    </w:p>
    <w:p w14:paraId="24C09A72">
      <w:pPr>
        <w:spacing w:before="93" w:after="93"/>
        <w:ind w:firstLine="420"/>
      </w:pPr>
      <w:r>
        <w:rPr>
          <w:rFonts w:hint="eastAsia"/>
        </w:rPr>
        <w:t>点击【收文登记】，进入收文单模板选择画面，选择其中一个收文模板，点击【登记收文】按钮后进行收文登记。</w:t>
      </w:r>
    </w:p>
    <w:p w14:paraId="5D87815C">
      <w:pPr>
        <w:spacing w:before="93" w:after="93"/>
        <w:ind w:firstLine="0" w:firstLineChars="0"/>
        <w:jc w:val="center"/>
        <w:rPr>
          <w:rFonts w:hint="eastAsia"/>
        </w:rPr>
      </w:pPr>
      <w:r>
        <w:drawing>
          <wp:inline distT="0" distB="0" distL="114300" distR="114300">
            <wp:extent cx="6416040" cy="3052445"/>
            <wp:effectExtent l="9525" t="9525" r="13335" b="2413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21"/>
                    <a:stretch>
                      <a:fillRect/>
                    </a:stretch>
                  </pic:blipFill>
                  <pic:spPr>
                    <a:xfrm>
                      <a:off x="0" y="0"/>
                      <a:ext cx="6416040" cy="3052445"/>
                    </a:xfrm>
                    <a:prstGeom prst="rect">
                      <a:avLst/>
                    </a:prstGeom>
                    <a:noFill/>
                    <a:ln>
                      <a:solidFill>
                        <a:srgbClr val="EAEAEA"/>
                      </a:solidFill>
                    </a:ln>
                  </pic:spPr>
                </pic:pic>
              </a:graphicData>
            </a:graphic>
          </wp:inline>
        </w:drawing>
      </w:r>
    </w:p>
    <w:p w14:paraId="4FB3459D">
      <w:pPr>
        <w:spacing w:before="93" w:after="93"/>
        <w:ind w:firstLine="0" w:firstLineChars="0"/>
        <w:jc w:val="center"/>
      </w:pPr>
      <w:r>
        <w:rPr>
          <w:rFonts w:hint="eastAsia"/>
        </w:rPr>
        <w:t>图22-2-收文登记模板选择画面</w:t>
      </w:r>
    </w:p>
    <w:p w14:paraId="3E3B8A83">
      <w:pPr>
        <w:spacing w:before="93" w:after="93"/>
        <w:ind w:firstLine="420"/>
      </w:pPr>
      <w:r>
        <w:rPr>
          <w:rFonts w:hint="eastAsia"/>
        </w:rPr>
        <w:t>选好收文登记模板后，显示收文单模板的输入画面。</w:t>
      </w:r>
    </w:p>
    <w:p w14:paraId="6FF570C8">
      <w:pPr>
        <w:spacing w:before="93" w:after="93"/>
        <w:ind w:firstLine="0" w:firstLineChars="0"/>
        <w:jc w:val="center"/>
        <w:rPr>
          <w:rFonts w:hint="eastAsia"/>
        </w:rPr>
      </w:pPr>
      <w:r>
        <w:drawing>
          <wp:inline distT="0" distB="0" distL="114300" distR="114300">
            <wp:extent cx="6416040" cy="3055620"/>
            <wp:effectExtent l="9525" t="9525" r="13335" b="2095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22"/>
                    <a:stretch>
                      <a:fillRect/>
                    </a:stretch>
                  </pic:blipFill>
                  <pic:spPr>
                    <a:xfrm>
                      <a:off x="0" y="0"/>
                      <a:ext cx="6416040" cy="3055620"/>
                    </a:xfrm>
                    <a:prstGeom prst="rect">
                      <a:avLst/>
                    </a:prstGeom>
                    <a:noFill/>
                    <a:ln>
                      <a:solidFill>
                        <a:srgbClr val="EAEAEA"/>
                      </a:solidFill>
                    </a:ln>
                  </pic:spPr>
                </pic:pic>
              </a:graphicData>
            </a:graphic>
          </wp:inline>
        </w:drawing>
      </w:r>
    </w:p>
    <w:p w14:paraId="0B6BFEAD">
      <w:pPr>
        <w:spacing w:before="93" w:after="93"/>
        <w:ind w:firstLine="0" w:firstLineChars="0"/>
        <w:jc w:val="center"/>
      </w:pPr>
      <w:r>
        <w:rPr>
          <w:rFonts w:hint="eastAsia"/>
        </w:rPr>
        <w:t>图22-3-收文登记填写画面</w:t>
      </w:r>
    </w:p>
    <w:p w14:paraId="0F4E55CE">
      <w:pPr>
        <w:spacing w:before="93" w:after="93"/>
        <w:ind w:firstLine="420"/>
      </w:pPr>
      <w:r>
        <w:rPr>
          <w:rFonts w:hint="eastAsia"/>
        </w:rPr>
        <w:t>收文登记画面说明：</w:t>
      </w:r>
    </w:p>
    <w:p w14:paraId="6D278CA9">
      <w:pPr>
        <w:pStyle w:val="24"/>
        <w:ind w:left="420" w:leftChars="0"/>
      </w:pPr>
      <w:r>
        <w:rPr>
          <w:rFonts w:hint="eastAsia"/>
        </w:rPr>
        <w:t>上传正文：通过‘上传正文’可将已接收到的来文正文文件从本地直接上传到系统中。</w:t>
      </w:r>
    </w:p>
    <w:p w14:paraId="446144D7">
      <w:pPr>
        <w:pStyle w:val="24"/>
        <w:ind w:left="420" w:leftChars="0"/>
      </w:pPr>
      <w:r>
        <w:rPr>
          <w:rFonts w:hint="eastAsia"/>
        </w:rPr>
        <w:t>提交：点击‘提交’，可将已填写完毕的文件发送给相关的审核人。</w:t>
      </w:r>
    </w:p>
    <w:p w14:paraId="14926B2E">
      <w:pPr>
        <w:pStyle w:val="24"/>
        <w:ind w:left="420" w:leftChars="0"/>
      </w:pPr>
      <w:r>
        <w:rPr>
          <w:rFonts w:hint="eastAsia"/>
        </w:rPr>
        <w:t>保存：如果登记没有写完或暂时不想发送，可点击【保存】按钮，将登记文件保存到&lt;收文登记&gt;中，等待下次再继续进行登记。</w:t>
      </w:r>
    </w:p>
    <w:p w14:paraId="44772F2D">
      <w:pPr>
        <w:pStyle w:val="24"/>
        <w:ind w:left="420" w:leftChars="0"/>
      </w:pPr>
      <w:r>
        <w:rPr>
          <w:rFonts w:hint="eastAsia"/>
        </w:rPr>
        <w:t>打印：点击【打印】按钮。可打印该登记文件。</w:t>
      </w:r>
    </w:p>
    <w:p w14:paraId="19C32BC7">
      <w:pPr>
        <w:pStyle w:val="24"/>
        <w:ind w:left="420" w:leftChars="0"/>
      </w:pPr>
      <w:r>
        <w:rPr>
          <w:rFonts w:hint="eastAsia"/>
          <w:lang w:val="en-US" w:eastAsia="zh-CN"/>
        </w:rPr>
        <w:t>签批流程：可查看当前收文单的流转流程。</w:t>
      </w:r>
    </w:p>
    <w:p w14:paraId="6CE878B5">
      <w:pPr>
        <w:spacing w:before="93" w:after="93"/>
        <w:ind w:firstLine="420"/>
      </w:pPr>
      <w:r>
        <w:rPr>
          <w:rFonts w:hint="eastAsia"/>
        </w:rPr>
        <w:t>下面我们申请收文。</w:t>
      </w:r>
    </w:p>
    <w:p w14:paraId="48A47824">
      <w:pPr>
        <w:pStyle w:val="5"/>
        <w:spacing w:before="312"/>
        <w:rPr>
          <w:rFonts w:cs="Times New Roman"/>
        </w:rPr>
      </w:pPr>
      <w:bookmarkStart w:id="17" w:name="_Toc445302915"/>
      <w:bookmarkStart w:id="18" w:name="_Toc24442"/>
      <w:bookmarkStart w:id="19" w:name="_Toc481601782"/>
      <w:bookmarkStart w:id="20" w:name="_Toc423363808"/>
      <w:r>
        <w:rPr>
          <w:rFonts w:hint="eastAsia" w:cs="Times New Roman"/>
        </w:rPr>
        <w:t>2.2.1填写收文单</w:t>
      </w:r>
      <w:bookmarkEnd w:id="17"/>
      <w:bookmarkEnd w:id="18"/>
      <w:bookmarkEnd w:id="19"/>
      <w:bookmarkEnd w:id="20"/>
    </w:p>
    <w:p w14:paraId="53FD6014">
      <w:pPr>
        <w:spacing w:before="93" w:after="93"/>
        <w:ind w:firstLine="420"/>
      </w:pPr>
      <w:bookmarkStart w:id="21" w:name="_2.1填写发文单"/>
      <w:bookmarkEnd w:id="21"/>
      <w:r>
        <w:rPr>
          <w:rFonts w:hint="eastAsia"/>
        </w:rPr>
        <w:t>填写收文单相关信息，其中标题为收文单必填项目。</w:t>
      </w:r>
    </w:p>
    <w:p w14:paraId="2CFFF8BA">
      <w:pPr>
        <w:spacing w:before="93" w:after="93"/>
        <w:ind w:firstLine="420"/>
        <w:rPr>
          <w:rFonts w:hint="eastAsia"/>
        </w:rPr>
      </w:pPr>
      <w:r>
        <w:t>点击【</w:t>
      </w:r>
      <w:r>
        <w:rPr>
          <w:rFonts w:hint="eastAsia"/>
        </w:rPr>
        <w:t>上传正文</w:t>
      </w:r>
      <w:r>
        <w:t>】按钮，</w:t>
      </w:r>
      <w:r>
        <w:rPr>
          <w:rFonts w:hint="eastAsia"/>
        </w:rPr>
        <w:t>显示附件上传功能，可从本地上传已收到文档的电子档。</w:t>
      </w:r>
    </w:p>
    <w:p w14:paraId="0A0EA2FD">
      <w:pPr>
        <w:spacing w:before="93" w:after="93"/>
        <w:ind w:firstLine="420"/>
        <w:rPr>
          <w:rFonts w:hint="eastAsia"/>
        </w:rPr>
      </w:pPr>
      <w:r>
        <w:rPr>
          <w:rFonts w:hint="eastAsia"/>
        </w:rPr>
        <w:t>左侧可以添加附件和设置关联表单。关联表单可以选择到审批流转、公文发文、公文收文和自定义平台模块中的表单。具体哪些模块支持关联，可以到系统管理中进行配置。</w:t>
      </w:r>
    </w:p>
    <w:p w14:paraId="18BEF818">
      <w:pPr>
        <w:spacing w:before="93" w:after="93"/>
        <w:ind w:firstLine="0" w:firstLineChars="0"/>
        <w:jc w:val="center"/>
        <w:rPr>
          <w:rFonts w:hint="eastAsia"/>
        </w:rPr>
      </w:pPr>
      <w:r>
        <w:drawing>
          <wp:inline distT="0" distB="0" distL="114300" distR="114300">
            <wp:extent cx="6416040" cy="3049270"/>
            <wp:effectExtent l="9525" t="9525" r="13335" b="2730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23"/>
                    <a:stretch>
                      <a:fillRect/>
                    </a:stretch>
                  </pic:blipFill>
                  <pic:spPr>
                    <a:xfrm>
                      <a:off x="0" y="0"/>
                      <a:ext cx="6416040" cy="3049270"/>
                    </a:xfrm>
                    <a:prstGeom prst="rect">
                      <a:avLst/>
                    </a:prstGeom>
                    <a:noFill/>
                    <a:ln>
                      <a:solidFill>
                        <a:srgbClr val="EAEAEA"/>
                      </a:solidFill>
                    </a:ln>
                  </pic:spPr>
                </pic:pic>
              </a:graphicData>
            </a:graphic>
          </wp:inline>
        </w:drawing>
      </w:r>
    </w:p>
    <w:p w14:paraId="3EACA64E">
      <w:pPr>
        <w:spacing w:before="93" w:after="93"/>
        <w:ind w:firstLine="0" w:firstLineChars="0"/>
        <w:jc w:val="center"/>
      </w:pPr>
      <w:r>
        <w:rPr>
          <w:rFonts w:hint="eastAsia"/>
        </w:rPr>
        <w:t>图221-1-收文上传正文画面</w:t>
      </w:r>
    </w:p>
    <w:p w14:paraId="7631DABE">
      <w:pPr>
        <w:spacing w:before="93" w:after="93"/>
        <w:ind w:firstLine="0" w:firstLineChars="0"/>
        <w:jc w:val="center"/>
        <w:rPr>
          <w:rFonts w:hint="eastAsia"/>
        </w:rPr>
      </w:pPr>
      <w:r>
        <w:drawing>
          <wp:inline distT="0" distB="0" distL="114300" distR="114300">
            <wp:extent cx="6416040" cy="3058795"/>
            <wp:effectExtent l="9525" t="9525" r="13335" b="1778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4"/>
                    <a:stretch>
                      <a:fillRect/>
                    </a:stretch>
                  </pic:blipFill>
                  <pic:spPr>
                    <a:xfrm>
                      <a:off x="0" y="0"/>
                      <a:ext cx="6416040" cy="3058795"/>
                    </a:xfrm>
                    <a:prstGeom prst="rect">
                      <a:avLst/>
                    </a:prstGeom>
                    <a:noFill/>
                    <a:ln>
                      <a:solidFill>
                        <a:srgbClr val="EAEAEA"/>
                      </a:solidFill>
                    </a:ln>
                  </pic:spPr>
                </pic:pic>
              </a:graphicData>
            </a:graphic>
          </wp:inline>
        </w:drawing>
      </w:r>
    </w:p>
    <w:p w14:paraId="7707E5FC">
      <w:pPr>
        <w:spacing w:before="93" w:after="93"/>
        <w:ind w:firstLine="0" w:firstLineChars="0"/>
        <w:jc w:val="center"/>
        <w:rPr>
          <w:rFonts w:hint="eastAsia"/>
        </w:rPr>
      </w:pPr>
      <w:r>
        <w:rPr>
          <w:rFonts w:hint="eastAsia"/>
        </w:rPr>
        <w:t>图221-2-收文上传正文画面</w:t>
      </w:r>
    </w:p>
    <w:p w14:paraId="505827F3">
      <w:pPr>
        <w:pStyle w:val="2"/>
        <w:spacing w:before="93" w:after="93" w:line="288" w:lineRule="auto"/>
        <w:ind w:left="0" w:leftChars="0" w:firstLine="0" w:firstLineChars="0"/>
        <w:jc w:val="center"/>
        <w:rPr>
          <w:rFonts w:hint="eastAsia"/>
        </w:rPr>
      </w:pPr>
      <w:r>
        <w:drawing>
          <wp:inline distT="0" distB="0" distL="114300" distR="114300">
            <wp:extent cx="6416040" cy="3052445"/>
            <wp:effectExtent l="9525" t="9525" r="13335" b="2413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25"/>
                    <a:stretch>
                      <a:fillRect/>
                    </a:stretch>
                  </pic:blipFill>
                  <pic:spPr>
                    <a:xfrm>
                      <a:off x="0" y="0"/>
                      <a:ext cx="6416040" cy="3052445"/>
                    </a:xfrm>
                    <a:prstGeom prst="rect">
                      <a:avLst/>
                    </a:prstGeom>
                    <a:noFill/>
                    <a:ln>
                      <a:solidFill>
                        <a:srgbClr val="EAEAEA"/>
                      </a:solidFill>
                    </a:ln>
                  </pic:spPr>
                </pic:pic>
              </a:graphicData>
            </a:graphic>
          </wp:inline>
        </w:drawing>
      </w:r>
    </w:p>
    <w:p w14:paraId="0730F5E3">
      <w:pPr>
        <w:pStyle w:val="2"/>
        <w:spacing w:before="93" w:after="93" w:line="288" w:lineRule="auto"/>
        <w:ind w:left="0" w:leftChars="0" w:firstLine="0" w:firstLineChars="0"/>
        <w:jc w:val="center"/>
      </w:pPr>
      <w:r>
        <w:rPr>
          <w:rFonts w:hint="eastAsia"/>
        </w:rPr>
        <w:t>图221-3-关联表单画面</w:t>
      </w:r>
    </w:p>
    <w:p w14:paraId="6089764B">
      <w:pPr>
        <w:spacing w:before="93" w:after="93"/>
        <w:ind w:firstLine="420"/>
      </w:pPr>
      <w:r>
        <w:rPr>
          <w:rFonts w:hint="eastAsia"/>
        </w:rPr>
        <w:t>文件保存后，可在收文登记下进行查阅。对于暂存的文件，可点击主题进行二次编辑或者直接发送。</w:t>
      </w:r>
    </w:p>
    <w:p w14:paraId="7081B72F">
      <w:pPr>
        <w:spacing w:before="93" w:after="93"/>
        <w:ind w:firstLine="0" w:firstLineChars="0"/>
        <w:jc w:val="center"/>
        <w:rPr>
          <w:rFonts w:hint="eastAsia"/>
        </w:rPr>
      </w:pPr>
      <w:r>
        <w:drawing>
          <wp:inline distT="0" distB="0" distL="114300" distR="114300">
            <wp:extent cx="6416040" cy="3055620"/>
            <wp:effectExtent l="9525" t="9525" r="13335" b="20955"/>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26"/>
                    <a:stretch>
                      <a:fillRect/>
                    </a:stretch>
                  </pic:blipFill>
                  <pic:spPr>
                    <a:xfrm>
                      <a:off x="0" y="0"/>
                      <a:ext cx="6416040" cy="3055620"/>
                    </a:xfrm>
                    <a:prstGeom prst="rect">
                      <a:avLst/>
                    </a:prstGeom>
                    <a:noFill/>
                    <a:ln>
                      <a:solidFill>
                        <a:srgbClr val="EAEAEA"/>
                      </a:solidFill>
                    </a:ln>
                  </pic:spPr>
                </pic:pic>
              </a:graphicData>
            </a:graphic>
          </wp:inline>
        </w:drawing>
      </w:r>
    </w:p>
    <w:p w14:paraId="65D5AA25">
      <w:pPr>
        <w:spacing w:before="93" w:after="93"/>
        <w:ind w:firstLine="0" w:firstLineChars="0"/>
        <w:jc w:val="center"/>
      </w:pPr>
      <w:r>
        <w:rPr>
          <w:rFonts w:hint="eastAsia"/>
        </w:rPr>
        <w:t>图221-4-收文登记画面</w:t>
      </w:r>
    </w:p>
    <w:p w14:paraId="3DCB573A">
      <w:pPr>
        <w:spacing w:before="93" w:after="93"/>
        <w:ind w:firstLine="420"/>
      </w:pPr>
      <w:r>
        <w:rPr>
          <w:rFonts w:hint="eastAsia"/>
        </w:rPr>
        <w:t>对于没有发送的申请，可以在该画面中点击【删除】按钮，来删除该申请，或是点击【发送】按钮，跳转至&lt;起草申请&gt;画面，继续编辑该申请。</w:t>
      </w:r>
    </w:p>
    <w:p w14:paraId="42C6C12A">
      <w:pPr>
        <w:pStyle w:val="5"/>
        <w:spacing w:before="312"/>
        <w:rPr>
          <w:rFonts w:cs="Times New Roman"/>
        </w:rPr>
      </w:pPr>
      <w:bookmarkStart w:id="22" w:name="_Toc445302917"/>
      <w:bookmarkStart w:id="23" w:name="_Toc423363810"/>
      <w:bookmarkStart w:id="24" w:name="_Toc481601783"/>
      <w:bookmarkStart w:id="25" w:name="_Toc23582"/>
      <w:r>
        <w:rPr>
          <w:rFonts w:hint="eastAsia" w:cs="Times New Roman"/>
        </w:rPr>
        <w:t>2.2.2发送申请</w:t>
      </w:r>
      <w:bookmarkEnd w:id="22"/>
      <w:bookmarkEnd w:id="23"/>
      <w:bookmarkEnd w:id="24"/>
      <w:bookmarkEnd w:id="25"/>
    </w:p>
    <w:p w14:paraId="67988A32">
      <w:pPr>
        <w:spacing w:before="93" w:after="93"/>
        <w:ind w:firstLine="420"/>
      </w:pPr>
      <w:r>
        <w:rPr>
          <w:rFonts w:hint="eastAsia"/>
        </w:rPr>
        <w:t>申请信息输入完毕，点击【发送】按钮，将所拟稿件直接发送到审批流程的第一步审批人处。系统自动弹出下一步审批人提示信息。点击【确定】即可。</w:t>
      </w:r>
    </w:p>
    <w:p w14:paraId="796C1768">
      <w:pPr>
        <w:spacing w:before="93" w:after="93"/>
        <w:ind w:firstLine="0" w:firstLineChars="0"/>
        <w:jc w:val="center"/>
        <w:rPr>
          <w:rFonts w:hint="eastAsia"/>
        </w:rPr>
      </w:pPr>
      <w:r>
        <w:drawing>
          <wp:inline distT="0" distB="0" distL="114300" distR="114300">
            <wp:extent cx="6416040" cy="3049270"/>
            <wp:effectExtent l="9525" t="9525" r="13335" b="2730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27"/>
                    <a:stretch>
                      <a:fillRect/>
                    </a:stretch>
                  </pic:blipFill>
                  <pic:spPr>
                    <a:xfrm>
                      <a:off x="0" y="0"/>
                      <a:ext cx="6416040" cy="3049270"/>
                    </a:xfrm>
                    <a:prstGeom prst="rect">
                      <a:avLst/>
                    </a:prstGeom>
                    <a:noFill/>
                    <a:ln>
                      <a:solidFill>
                        <a:srgbClr val="EAEAEA"/>
                      </a:solidFill>
                    </a:ln>
                  </pic:spPr>
                </pic:pic>
              </a:graphicData>
            </a:graphic>
          </wp:inline>
        </w:drawing>
      </w:r>
    </w:p>
    <w:p w14:paraId="2FBBE790">
      <w:pPr>
        <w:spacing w:before="93" w:after="93"/>
        <w:ind w:firstLine="0" w:firstLineChars="0"/>
        <w:jc w:val="center"/>
      </w:pPr>
      <w:r>
        <w:rPr>
          <w:rFonts w:hint="eastAsia"/>
        </w:rPr>
        <w:t>图222-1-收文登记提交画面</w:t>
      </w:r>
    </w:p>
    <w:p w14:paraId="0D73B76C">
      <w:pPr>
        <w:spacing w:before="93" w:after="93"/>
        <w:ind w:firstLine="420"/>
      </w:pPr>
      <w:r>
        <w:rPr>
          <w:rFonts w:hint="eastAsia"/>
        </w:rPr>
        <w:t>这样，收文申请就发送出去了，等待下一步审批人的审批。在&lt;收文登记&gt;画面可见该申请信息。</w:t>
      </w:r>
    </w:p>
    <w:p w14:paraId="1317BEC9">
      <w:pPr>
        <w:pStyle w:val="5"/>
        <w:spacing w:before="312"/>
        <w:rPr>
          <w:rFonts w:cs="Times New Roman"/>
        </w:rPr>
      </w:pPr>
      <w:bookmarkStart w:id="26" w:name="_Toc445302918"/>
      <w:bookmarkStart w:id="27" w:name="_Toc481601784"/>
      <w:bookmarkStart w:id="28" w:name="_Toc423363811"/>
      <w:bookmarkStart w:id="29" w:name="_Toc379"/>
      <w:r>
        <w:rPr>
          <w:rFonts w:hint="eastAsia" w:cs="Times New Roman"/>
        </w:rPr>
        <w:t>2.2.3其他相关功能</w:t>
      </w:r>
      <w:bookmarkEnd w:id="26"/>
      <w:bookmarkEnd w:id="27"/>
      <w:bookmarkEnd w:id="28"/>
      <w:bookmarkEnd w:id="29"/>
    </w:p>
    <w:p w14:paraId="702B0518">
      <w:pPr>
        <w:spacing w:before="93" w:after="93"/>
        <w:ind w:firstLine="420"/>
      </w:pPr>
      <w:r>
        <w:rPr>
          <w:rFonts w:hint="eastAsia"/>
        </w:rPr>
        <w:t>菜单中，可见当前用户的全部申请信息，包括：主题、来文字号、收文登记时间、正在进行的流程、关注等相关信息。在此画面中，可以执行申请信息的转存、转发、催办、查看批阅信息、查询等操作。</w:t>
      </w:r>
    </w:p>
    <w:p w14:paraId="5113EEA3">
      <w:pPr>
        <w:spacing w:before="93" w:after="93"/>
        <w:ind w:firstLine="0" w:firstLineChars="0"/>
        <w:jc w:val="center"/>
        <w:rPr>
          <w:rFonts w:hint="eastAsia"/>
        </w:rPr>
      </w:pPr>
      <w:r>
        <w:drawing>
          <wp:inline distT="0" distB="0" distL="114300" distR="114300">
            <wp:extent cx="6416040" cy="3055620"/>
            <wp:effectExtent l="9525" t="9525" r="13335" b="2095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0"/>
                    <a:stretch>
                      <a:fillRect/>
                    </a:stretch>
                  </pic:blipFill>
                  <pic:spPr>
                    <a:xfrm>
                      <a:off x="0" y="0"/>
                      <a:ext cx="6416040" cy="3055620"/>
                    </a:xfrm>
                    <a:prstGeom prst="rect">
                      <a:avLst/>
                    </a:prstGeom>
                    <a:noFill/>
                    <a:ln>
                      <a:solidFill>
                        <a:srgbClr val="EAEAEA"/>
                      </a:solidFill>
                    </a:ln>
                  </pic:spPr>
                </pic:pic>
              </a:graphicData>
            </a:graphic>
          </wp:inline>
        </w:drawing>
      </w:r>
    </w:p>
    <w:p w14:paraId="3783DBC7">
      <w:pPr>
        <w:spacing w:before="93" w:after="93"/>
        <w:ind w:firstLine="0" w:firstLineChars="0"/>
        <w:jc w:val="center"/>
      </w:pPr>
      <w:r>
        <w:rPr>
          <w:rFonts w:hint="eastAsia"/>
        </w:rPr>
        <w:t>图223-1-收文登记画面</w:t>
      </w:r>
    </w:p>
    <w:p w14:paraId="2670EB53">
      <w:pPr>
        <w:spacing w:before="93" w:after="93"/>
        <w:ind w:firstLine="420"/>
      </w:pPr>
      <w:r>
        <w:rPr>
          <w:rFonts w:hint="eastAsia"/>
        </w:rPr>
        <w:t>下面让我们看一下具体的操作：</w:t>
      </w:r>
    </w:p>
    <w:p w14:paraId="3373DED5">
      <w:pPr>
        <w:pStyle w:val="22"/>
        <w:numPr>
          <w:ilvl w:val="0"/>
          <w:numId w:val="8"/>
        </w:numPr>
        <w:spacing w:before="93" w:after="93"/>
        <w:ind w:firstLineChars="0"/>
      </w:pPr>
      <w:r>
        <w:rPr>
          <w:rFonts w:hint="eastAsia"/>
        </w:rPr>
        <w:t>看申请信息</w:t>
      </w:r>
    </w:p>
    <w:p w14:paraId="53D6BAF5">
      <w:pPr>
        <w:spacing w:before="93" w:after="93"/>
        <w:ind w:firstLine="420"/>
      </w:pPr>
      <w:r>
        <w:rPr>
          <w:rFonts w:hint="eastAsia"/>
        </w:rPr>
        <w:t>选择一条申请信息，点击文件的标题名，可查看所选信息的具体内容、批阅信息、正文等信息。</w:t>
      </w:r>
    </w:p>
    <w:p w14:paraId="20291035">
      <w:pPr>
        <w:spacing w:before="93" w:after="93"/>
        <w:ind w:firstLine="0" w:firstLineChars="0"/>
        <w:jc w:val="center"/>
        <w:rPr>
          <w:rFonts w:hint="eastAsia"/>
        </w:rPr>
      </w:pPr>
      <w:r>
        <w:drawing>
          <wp:inline distT="0" distB="0" distL="114300" distR="114300">
            <wp:extent cx="6416040" cy="3055620"/>
            <wp:effectExtent l="9525" t="9525" r="13335" b="2095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8"/>
                    <a:stretch>
                      <a:fillRect/>
                    </a:stretch>
                  </pic:blipFill>
                  <pic:spPr>
                    <a:xfrm>
                      <a:off x="0" y="0"/>
                      <a:ext cx="6416040" cy="3055620"/>
                    </a:xfrm>
                    <a:prstGeom prst="rect">
                      <a:avLst/>
                    </a:prstGeom>
                    <a:noFill/>
                    <a:ln>
                      <a:solidFill>
                        <a:srgbClr val="EAEAEA"/>
                      </a:solidFill>
                    </a:ln>
                  </pic:spPr>
                </pic:pic>
              </a:graphicData>
            </a:graphic>
          </wp:inline>
        </w:drawing>
      </w:r>
    </w:p>
    <w:p w14:paraId="6C05DB92">
      <w:pPr>
        <w:spacing w:before="93" w:after="93"/>
        <w:ind w:firstLine="0" w:firstLineChars="0"/>
        <w:jc w:val="center"/>
      </w:pPr>
      <w:r>
        <w:rPr>
          <w:rFonts w:hint="eastAsia"/>
        </w:rPr>
        <w:t>图223-2-收文登记已提交文件查看画面</w:t>
      </w:r>
    </w:p>
    <w:p w14:paraId="55B17A79">
      <w:pPr>
        <w:spacing w:before="93" w:after="93"/>
        <w:ind w:firstLine="420"/>
      </w:pPr>
      <w:r>
        <w:rPr>
          <w:rFonts w:hint="eastAsia"/>
        </w:rPr>
        <w:t>查看申请信息画面说明：</w:t>
      </w:r>
    </w:p>
    <w:p w14:paraId="311E6873">
      <w:pPr>
        <w:pStyle w:val="24"/>
        <w:ind w:left="420" w:leftChars="0"/>
      </w:pPr>
      <w:r>
        <w:rPr>
          <w:rFonts w:hint="eastAsia"/>
        </w:rPr>
        <w:t>批阅信息：点击【批阅信息】按钮，可查看该申请的流转相关信息。</w:t>
      </w:r>
    </w:p>
    <w:p w14:paraId="739E3D32">
      <w:pPr>
        <w:pStyle w:val="24"/>
        <w:ind w:left="420" w:leftChars="0"/>
      </w:pPr>
      <w:r>
        <w:rPr>
          <w:rFonts w:hint="eastAsia"/>
          <w:lang w:eastAsia="zh-CN"/>
        </w:rPr>
        <w:t>撤销</w:t>
      </w:r>
      <w:r>
        <w:rPr>
          <w:rFonts w:hint="eastAsia"/>
        </w:rPr>
        <w:t>申请：如果当前申请提交后，没有任何审核人审阅，申请人可通过</w:t>
      </w:r>
      <w:r>
        <w:rPr>
          <w:rFonts w:hint="eastAsia"/>
          <w:lang w:eastAsia="zh-CN"/>
        </w:rPr>
        <w:t>撤销</w:t>
      </w:r>
      <w:r>
        <w:rPr>
          <w:rFonts w:hint="eastAsia"/>
        </w:rPr>
        <w:t>申请撤回该文件（如果已经被审核，则该收文无法被</w:t>
      </w:r>
      <w:r>
        <w:rPr>
          <w:rFonts w:hint="eastAsia"/>
          <w:lang w:eastAsia="zh-CN"/>
        </w:rPr>
        <w:t>撤销</w:t>
      </w:r>
      <w:r>
        <w:rPr>
          <w:rFonts w:hint="eastAsia"/>
        </w:rPr>
        <w:t>）</w:t>
      </w:r>
    </w:p>
    <w:p w14:paraId="6A0DC4F8">
      <w:pPr>
        <w:pStyle w:val="24"/>
        <w:ind w:left="420" w:leftChars="0"/>
      </w:pPr>
      <w:r>
        <w:rPr>
          <w:rFonts w:hint="eastAsia"/>
        </w:rPr>
        <w:t>查看正文：可查看当前收文单的正文文件。（看收文单模板设定是否直接显示查看正文）</w:t>
      </w:r>
    </w:p>
    <w:p w14:paraId="65E4E48F">
      <w:pPr>
        <w:pStyle w:val="24"/>
        <w:ind w:left="420" w:leftChars="0"/>
      </w:pPr>
      <w:r>
        <w:rPr>
          <w:rFonts w:hint="eastAsia"/>
        </w:rPr>
        <w:t>打印：可打印当前收文单。</w:t>
      </w:r>
    </w:p>
    <w:p w14:paraId="58B5F0EB">
      <w:pPr>
        <w:pStyle w:val="24"/>
        <w:ind w:left="420" w:leftChars="0"/>
      </w:pPr>
      <w:r>
        <w:rPr>
          <w:rFonts w:hint="eastAsia"/>
        </w:rPr>
        <w:t>复制：点击【复制】按钮，可以直接复制本表单上所填写的内容，便于重新起草提交新表单。</w:t>
      </w:r>
    </w:p>
    <w:p w14:paraId="2F38F2F6">
      <w:pPr>
        <w:pStyle w:val="24"/>
        <w:ind w:left="420" w:leftChars="0"/>
      </w:pPr>
      <w:r>
        <w:rPr>
          <w:rFonts w:hint="eastAsia"/>
          <w:lang w:eastAsia="zh-CN"/>
        </w:rPr>
        <w:t>一文双屏：支持一文双屏的查看方式，具体可以到系统管理模块中开启配置项。</w:t>
      </w:r>
    </w:p>
    <w:p w14:paraId="72CE65BF">
      <w:pPr>
        <w:pStyle w:val="24"/>
        <w:numPr>
          <w:ilvl w:val="0"/>
          <w:numId w:val="0"/>
        </w:numPr>
      </w:pPr>
    </w:p>
    <w:p w14:paraId="346B7451">
      <w:pPr>
        <w:numPr>
          <w:ilvl w:val="0"/>
          <w:numId w:val="8"/>
        </w:numPr>
        <w:spacing w:before="93" w:after="93"/>
        <w:ind w:firstLineChars="0"/>
      </w:pPr>
      <w:r>
        <w:rPr>
          <w:rFonts w:hint="eastAsia"/>
        </w:rPr>
        <w:t>看批阅信息</w:t>
      </w:r>
    </w:p>
    <w:p w14:paraId="6A937DFE">
      <w:pPr>
        <w:spacing w:before="93" w:after="93"/>
        <w:ind w:firstLine="420"/>
      </w:pPr>
      <w:r>
        <w:rPr>
          <w:rFonts w:hint="eastAsia"/>
        </w:rPr>
        <w:t>点击【批阅信息】按钮，可查看所选信息的审批流转记录、流程图、审批日志、转发记录、阅读记录、承办信息等。</w:t>
      </w:r>
    </w:p>
    <w:p w14:paraId="3CA8957D">
      <w:pPr>
        <w:pStyle w:val="24"/>
        <w:ind w:left="420" w:leftChars="0"/>
      </w:pPr>
      <w:r>
        <w:rPr>
          <w:rFonts w:hint="eastAsia"/>
        </w:rPr>
        <w:t>流转记录的每个步骤的信息。该信息包括了：评审人、接收时间、审批结果、审批时间、办理时长、备注信息、参考附件等信息。</w:t>
      </w:r>
    </w:p>
    <w:p w14:paraId="055300F0">
      <w:pPr>
        <w:spacing w:before="93" w:after="93"/>
        <w:ind w:firstLine="0" w:firstLineChars="0"/>
        <w:jc w:val="center"/>
      </w:pPr>
      <w:r>
        <w:drawing>
          <wp:inline distT="0" distB="0" distL="114300" distR="114300">
            <wp:extent cx="6416040" cy="3052445"/>
            <wp:effectExtent l="9525" t="9525" r="13335" b="2413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29"/>
                    <a:stretch>
                      <a:fillRect/>
                    </a:stretch>
                  </pic:blipFill>
                  <pic:spPr>
                    <a:xfrm>
                      <a:off x="0" y="0"/>
                      <a:ext cx="6416040" cy="3052445"/>
                    </a:xfrm>
                    <a:prstGeom prst="rect">
                      <a:avLst/>
                    </a:prstGeom>
                    <a:noFill/>
                    <a:ln>
                      <a:solidFill>
                        <a:srgbClr val="EAEAEA"/>
                      </a:solidFill>
                    </a:ln>
                  </pic:spPr>
                </pic:pic>
              </a:graphicData>
            </a:graphic>
          </wp:inline>
        </w:drawing>
      </w:r>
    </w:p>
    <w:p w14:paraId="11A09D10">
      <w:pPr>
        <w:spacing w:before="93" w:after="93"/>
        <w:ind w:firstLine="0" w:firstLineChars="0"/>
        <w:jc w:val="center"/>
      </w:pPr>
      <w:r>
        <w:rPr>
          <w:rFonts w:hint="eastAsia"/>
        </w:rPr>
        <w:t>图223-</w:t>
      </w:r>
      <w:r>
        <w:rPr>
          <w:rFonts w:hint="eastAsia"/>
          <w:lang w:val="en-US" w:eastAsia="zh-CN"/>
        </w:rPr>
        <w:t>3</w:t>
      </w:r>
      <w:r>
        <w:rPr>
          <w:rFonts w:hint="eastAsia"/>
        </w:rPr>
        <w:t>-收文登记批阅信息流转记录画面</w:t>
      </w:r>
    </w:p>
    <w:p w14:paraId="1E81BA22">
      <w:pPr>
        <w:pStyle w:val="24"/>
        <w:ind w:left="420" w:leftChars="0"/>
      </w:pPr>
      <w:r>
        <w:rPr>
          <w:rFonts w:hint="eastAsia"/>
        </w:rPr>
        <w:t>审批日志查看：审批日志查看可查阅相应人员的操作时间、登录信息及操作的内容。</w:t>
      </w:r>
    </w:p>
    <w:p w14:paraId="688C6D5C">
      <w:pPr>
        <w:spacing w:before="93" w:after="93"/>
        <w:ind w:firstLine="0" w:firstLineChars="0"/>
        <w:jc w:val="center"/>
      </w:pPr>
      <w:r>
        <w:drawing>
          <wp:inline distT="0" distB="0" distL="114300" distR="114300">
            <wp:extent cx="6416040" cy="3049270"/>
            <wp:effectExtent l="9525" t="9525" r="13335" b="27305"/>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30"/>
                    <a:stretch>
                      <a:fillRect/>
                    </a:stretch>
                  </pic:blipFill>
                  <pic:spPr>
                    <a:xfrm>
                      <a:off x="0" y="0"/>
                      <a:ext cx="6416040" cy="3049270"/>
                    </a:xfrm>
                    <a:prstGeom prst="rect">
                      <a:avLst/>
                    </a:prstGeom>
                    <a:noFill/>
                    <a:ln>
                      <a:solidFill>
                        <a:srgbClr val="EAEAEA"/>
                      </a:solidFill>
                    </a:ln>
                  </pic:spPr>
                </pic:pic>
              </a:graphicData>
            </a:graphic>
          </wp:inline>
        </w:drawing>
      </w:r>
    </w:p>
    <w:p w14:paraId="28212ADE">
      <w:pPr>
        <w:spacing w:before="93" w:after="93"/>
        <w:ind w:firstLine="0" w:firstLineChars="0"/>
        <w:jc w:val="center"/>
      </w:pPr>
      <w:r>
        <w:rPr>
          <w:rFonts w:hint="eastAsia"/>
        </w:rPr>
        <w:t>图223-</w:t>
      </w:r>
      <w:r>
        <w:rPr>
          <w:rFonts w:hint="eastAsia"/>
          <w:lang w:val="en-US" w:eastAsia="zh-CN"/>
        </w:rPr>
        <w:t>4</w:t>
      </w:r>
      <w:r>
        <w:rPr>
          <w:rFonts w:hint="eastAsia"/>
        </w:rPr>
        <w:t>-收文登记批阅信息审批日志画面</w:t>
      </w:r>
    </w:p>
    <w:p w14:paraId="7908F156">
      <w:pPr>
        <w:pStyle w:val="24"/>
        <w:ind w:left="420" w:leftChars="0"/>
      </w:pPr>
      <w:r>
        <w:rPr>
          <w:rFonts w:hint="eastAsia"/>
        </w:rPr>
        <w:t>流程图：可看到当前流程的设定，以及当前流程审核的步骤所在。</w:t>
      </w:r>
    </w:p>
    <w:p w14:paraId="6F48720A">
      <w:pPr>
        <w:spacing w:before="93" w:after="93"/>
        <w:ind w:firstLine="0" w:firstLineChars="0"/>
        <w:jc w:val="center"/>
      </w:pPr>
      <w:r>
        <w:drawing>
          <wp:inline distT="0" distB="0" distL="114300" distR="114300">
            <wp:extent cx="6416040" cy="3052445"/>
            <wp:effectExtent l="9525" t="9525" r="13335" b="2413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31"/>
                    <a:stretch>
                      <a:fillRect/>
                    </a:stretch>
                  </pic:blipFill>
                  <pic:spPr>
                    <a:xfrm>
                      <a:off x="0" y="0"/>
                      <a:ext cx="6416040" cy="3052445"/>
                    </a:xfrm>
                    <a:prstGeom prst="rect">
                      <a:avLst/>
                    </a:prstGeom>
                    <a:noFill/>
                    <a:ln>
                      <a:solidFill>
                        <a:srgbClr val="EAEAEA"/>
                      </a:solidFill>
                    </a:ln>
                  </pic:spPr>
                </pic:pic>
              </a:graphicData>
            </a:graphic>
          </wp:inline>
        </w:drawing>
      </w:r>
    </w:p>
    <w:p w14:paraId="2E9F3847">
      <w:pPr>
        <w:spacing w:before="93" w:after="93"/>
        <w:ind w:firstLine="0" w:firstLineChars="0"/>
        <w:jc w:val="center"/>
      </w:pPr>
      <w:r>
        <w:rPr>
          <w:rFonts w:hint="eastAsia"/>
        </w:rPr>
        <w:t>图223-</w:t>
      </w:r>
      <w:r>
        <w:rPr>
          <w:rFonts w:hint="eastAsia"/>
          <w:lang w:val="en-US" w:eastAsia="zh-CN"/>
        </w:rPr>
        <w:t>5</w:t>
      </w:r>
      <w:r>
        <w:rPr>
          <w:rFonts w:hint="eastAsia"/>
        </w:rPr>
        <w:t>-收文登记批阅信息流程图画面</w:t>
      </w:r>
    </w:p>
    <w:p w14:paraId="2131AF7D">
      <w:pPr>
        <w:pStyle w:val="24"/>
        <w:ind w:left="420" w:leftChars="0"/>
      </w:pPr>
      <w:r>
        <w:rPr>
          <w:rFonts w:hint="eastAsia"/>
        </w:rPr>
        <w:t>转发记录：可查看此收文转发给哪些人的记录，如下图显示转发人、转发时间、接收人以及可以对已经转发的记录进行收回的操作。</w:t>
      </w:r>
    </w:p>
    <w:p w14:paraId="4FD3B5D1">
      <w:pPr>
        <w:spacing w:before="93" w:after="93"/>
        <w:ind w:firstLine="0" w:firstLineChars="0"/>
        <w:jc w:val="center"/>
      </w:pPr>
      <w:r>
        <w:drawing>
          <wp:inline distT="0" distB="0" distL="114300" distR="114300">
            <wp:extent cx="6416040" cy="3045460"/>
            <wp:effectExtent l="9525" t="9525" r="13335" b="1206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32"/>
                    <a:stretch>
                      <a:fillRect/>
                    </a:stretch>
                  </pic:blipFill>
                  <pic:spPr>
                    <a:xfrm>
                      <a:off x="0" y="0"/>
                      <a:ext cx="6416040" cy="3045460"/>
                    </a:xfrm>
                    <a:prstGeom prst="rect">
                      <a:avLst/>
                    </a:prstGeom>
                    <a:noFill/>
                    <a:ln>
                      <a:solidFill>
                        <a:srgbClr val="EAEAEA"/>
                      </a:solidFill>
                    </a:ln>
                  </pic:spPr>
                </pic:pic>
              </a:graphicData>
            </a:graphic>
          </wp:inline>
        </w:drawing>
      </w:r>
    </w:p>
    <w:p w14:paraId="60D18911">
      <w:pPr>
        <w:spacing w:before="93" w:after="93"/>
        <w:ind w:firstLine="0" w:firstLineChars="0"/>
        <w:jc w:val="center"/>
      </w:pPr>
      <w:r>
        <w:rPr>
          <w:rFonts w:hint="eastAsia"/>
        </w:rPr>
        <w:t>图223-</w:t>
      </w:r>
      <w:r>
        <w:rPr>
          <w:rFonts w:hint="eastAsia"/>
          <w:lang w:val="en-US" w:eastAsia="zh-CN"/>
        </w:rPr>
        <w:t>6</w:t>
      </w:r>
      <w:r>
        <w:rPr>
          <w:rFonts w:hint="eastAsia"/>
        </w:rPr>
        <w:t>-收文登记批阅信息转发记录画面</w:t>
      </w:r>
    </w:p>
    <w:p w14:paraId="1B9EC575">
      <w:pPr>
        <w:pStyle w:val="24"/>
        <w:ind w:left="420" w:leftChars="0"/>
      </w:pPr>
      <w:r>
        <w:rPr>
          <w:rFonts w:hint="eastAsia"/>
        </w:rPr>
        <w:t>阅读记录：在阅读记录中可记录此单分发给他人的情况以及阅读人员阅读情况，并可对分发的信息进行收回的操作。</w:t>
      </w:r>
    </w:p>
    <w:p w14:paraId="1A40D045">
      <w:pPr>
        <w:spacing w:before="93" w:after="93"/>
        <w:ind w:firstLine="0" w:firstLineChars="0"/>
        <w:jc w:val="center"/>
      </w:pPr>
      <w:r>
        <w:drawing>
          <wp:inline distT="0" distB="0" distL="114300" distR="114300">
            <wp:extent cx="6416040" cy="3045460"/>
            <wp:effectExtent l="9525" t="9525" r="13335" b="1206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33"/>
                    <a:stretch>
                      <a:fillRect/>
                    </a:stretch>
                  </pic:blipFill>
                  <pic:spPr>
                    <a:xfrm>
                      <a:off x="0" y="0"/>
                      <a:ext cx="6416040" cy="3045460"/>
                    </a:xfrm>
                    <a:prstGeom prst="rect">
                      <a:avLst/>
                    </a:prstGeom>
                    <a:noFill/>
                    <a:ln>
                      <a:solidFill>
                        <a:srgbClr val="EAEAEA"/>
                      </a:solidFill>
                    </a:ln>
                  </pic:spPr>
                </pic:pic>
              </a:graphicData>
            </a:graphic>
          </wp:inline>
        </w:drawing>
      </w:r>
    </w:p>
    <w:p w14:paraId="1BB69BE9">
      <w:pPr>
        <w:spacing w:before="93" w:after="93"/>
        <w:ind w:firstLine="0" w:firstLineChars="0"/>
        <w:jc w:val="center"/>
      </w:pPr>
      <w:r>
        <w:rPr>
          <w:rFonts w:hint="eastAsia"/>
        </w:rPr>
        <w:t>图223-</w:t>
      </w:r>
      <w:r>
        <w:rPr>
          <w:rFonts w:hint="eastAsia"/>
          <w:lang w:val="en-US" w:eastAsia="zh-CN"/>
        </w:rPr>
        <w:t>7</w:t>
      </w:r>
      <w:r>
        <w:rPr>
          <w:rFonts w:hint="eastAsia"/>
        </w:rPr>
        <w:t>-批阅信息阅读记录画面</w:t>
      </w:r>
    </w:p>
    <w:p w14:paraId="4332C2C5">
      <w:pPr>
        <w:pStyle w:val="24"/>
        <w:ind w:left="420" w:leftChars="0"/>
      </w:pPr>
      <w:r>
        <w:rPr>
          <w:rFonts w:hint="eastAsia"/>
        </w:rPr>
        <w:t>承办信息：可查看此收文承办人的承办时间以及承办意见等信息，并且</w:t>
      </w:r>
      <w:r>
        <w:rPr>
          <w:rFonts w:hint="eastAsia" w:ascii="微软雅黑" w:hAnsi="微软雅黑"/>
          <w:iCs/>
        </w:rPr>
        <w:t>下级人员提交了承办报告，在审批信息的承办信息里可通过“查看报告”的按钮查看报告</w:t>
      </w:r>
      <w:r>
        <w:rPr>
          <w:rFonts w:hint="eastAsia"/>
        </w:rPr>
        <w:t>。</w:t>
      </w:r>
    </w:p>
    <w:p w14:paraId="17E3C0B6">
      <w:pPr>
        <w:spacing w:before="93" w:after="93"/>
        <w:ind w:firstLine="0" w:firstLineChars="0"/>
        <w:jc w:val="center"/>
      </w:pPr>
      <w:r>
        <w:drawing>
          <wp:inline distT="0" distB="0" distL="114300" distR="114300">
            <wp:extent cx="6416040" cy="3049270"/>
            <wp:effectExtent l="9525" t="9525" r="13335" b="2730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34"/>
                    <a:stretch>
                      <a:fillRect/>
                    </a:stretch>
                  </pic:blipFill>
                  <pic:spPr>
                    <a:xfrm>
                      <a:off x="0" y="0"/>
                      <a:ext cx="6416040" cy="3049270"/>
                    </a:xfrm>
                    <a:prstGeom prst="rect">
                      <a:avLst/>
                    </a:prstGeom>
                    <a:noFill/>
                    <a:ln>
                      <a:solidFill>
                        <a:srgbClr val="EAEAEA"/>
                      </a:solidFill>
                    </a:ln>
                  </pic:spPr>
                </pic:pic>
              </a:graphicData>
            </a:graphic>
          </wp:inline>
        </w:drawing>
      </w:r>
    </w:p>
    <w:p w14:paraId="50208981">
      <w:pPr>
        <w:spacing w:before="93" w:after="93"/>
        <w:ind w:firstLine="0" w:firstLineChars="0"/>
        <w:jc w:val="center"/>
      </w:pPr>
      <w:r>
        <w:rPr>
          <w:rFonts w:hint="eastAsia"/>
        </w:rPr>
        <w:t>图223-</w:t>
      </w:r>
      <w:r>
        <w:rPr>
          <w:rFonts w:hint="eastAsia"/>
          <w:lang w:val="en-US" w:eastAsia="zh-CN"/>
        </w:rPr>
        <w:t>8</w:t>
      </w:r>
      <w:r>
        <w:rPr>
          <w:rFonts w:hint="eastAsia"/>
        </w:rPr>
        <w:t>-收文登记批阅信息承办信息画面</w:t>
      </w:r>
    </w:p>
    <w:p w14:paraId="1D90D4E6">
      <w:pPr>
        <w:spacing w:before="93" w:after="93"/>
        <w:ind w:firstLine="420"/>
      </w:pPr>
      <w:r>
        <w:rPr>
          <w:rFonts w:hint="eastAsia"/>
        </w:rPr>
        <w:t>③按条件查询</w:t>
      </w:r>
    </w:p>
    <w:p w14:paraId="012C7FAD">
      <w:pPr>
        <w:spacing w:before="93" w:after="93"/>
        <w:ind w:firstLine="420"/>
      </w:pPr>
      <w:r>
        <w:rPr>
          <w:rFonts w:hint="eastAsia"/>
        </w:rPr>
        <w:t>可通过模板类别、模板名称、主题、来文字号、关注状态、登记日期查询已申请的文件。</w:t>
      </w:r>
    </w:p>
    <w:p w14:paraId="3C4865A4">
      <w:pPr>
        <w:spacing w:before="93" w:after="93"/>
        <w:ind w:firstLine="0" w:firstLineChars="0"/>
        <w:jc w:val="center"/>
        <w:rPr>
          <w:rFonts w:hint="eastAsia"/>
        </w:rPr>
      </w:pPr>
      <w:r>
        <w:drawing>
          <wp:inline distT="0" distB="0" distL="114300" distR="114300">
            <wp:extent cx="6416040" cy="3058795"/>
            <wp:effectExtent l="9525" t="9525" r="13335" b="1778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35"/>
                    <a:stretch>
                      <a:fillRect/>
                    </a:stretch>
                  </pic:blipFill>
                  <pic:spPr>
                    <a:xfrm>
                      <a:off x="0" y="0"/>
                      <a:ext cx="6416040" cy="3058795"/>
                    </a:xfrm>
                    <a:prstGeom prst="rect">
                      <a:avLst/>
                    </a:prstGeom>
                    <a:noFill/>
                    <a:ln>
                      <a:solidFill>
                        <a:srgbClr val="EAEAEA"/>
                      </a:solidFill>
                    </a:ln>
                  </pic:spPr>
                </pic:pic>
              </a:graphicData>
            </a:graphic>
          </wp:inline>
        </w:drawing>
      </w:r>
    </w:p>
    <w:p w14:paraId="5C7F2D01">
      <w:pPr>
        <w:spacing w:before="93" w:after="93"/>
        <w:ind w:firstLine="0" w:firstLineChars="0"/>
        <w:jc w:val="center"/>
      </w:pPr>
      <w:r>
        <w:rPr>
          <w:rFonts w:hint="eastAsia"/>
        </w:rPr>
        <w:t>图223-</w:t>
      </w:r>
      <w:r>
        <w:rPr>
          <w:rFonts w:hint="eastAsia"/>
          <w:lang w:val="en-US" w:eastAsia="zh-CN"/>
        </w:rPr>
        <w:t>9</w:t>
      </w:r>
      <w:r>
        <w:rPr>
          <w:rFonts w:hint="eastAsia"/>
        </w:rPr>
        <w:t>-收文登记查询画面</w:t>
      </w:r>
    </w:p>
    <w:p w14:paraId="08910778">
      <w:pPr>
        <w:spacing w:before="93" w:after="93"/>
        <w:ind w:firstLine="420"/>
      </w:pPr>
      <w:r>
        <w:rPr>
          <w:rFonts w:hint="eastAsia"/>
        </w:rPr>
        <w:t>④催办</w:t>
      </w:r>
    </w:p>
    <w:p w14:paraId="209B5E0E">
      <w:pPr>
        <w:spacing w:before="93" w:after="93"/>
        <w:ind w:firstLine="420"/>
      </w:pPr>
      <w:r>
        <w:rPr>
          <w:rFonts w:hint="eastAsia"/>
        </w:rPr>
        <w:t>选择正在流转中的收文文件，能够向当前审批者发送系统消息催促办理。点击【催办】按钮，弹出催办信息已发出的提示信息。点击催办一次，发送一条信息。具体的发送频率个人根据实际情况自行把握。（对于审批完成或者被否决的申请，无法进行催办。）</w:t>
      </w:r>
    </w:p>
    <w:p w14:paraId="15C9E64A">
      <w:pPr>
        <w:spacing w:before="93" w:after="93"/>
        <w:ind w:firstLine="0" w:firstLineChars="0"/>
        <w:jc w:val="center"/>
        <w:rPr>
          <w:rFonts w:hint="eastAsia"/>
        </w:rPr>
      </w:pPr>
      <w:r>
        <w:drawing>
          <wp:inline distT="0" distB="0" distL="114300" distR="114300">
            <wp:extent cx="6416040" cy="3052445"/>
            <wp:effectExtent l="9525" t="9525" r="13335" b="24130"/>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36"/>
                    <a:stretch>
                      <a:fillRect/>
                    </a:stretch>
                  </pic:blipFill>
                  <pic:spPr>
                    <a:xfrm>
                      <a:off x="0" y="0"/>
                      <a:ext cx="6416040" cy="3052445"/>
                    </a:xfrm>
                    <a:prstGeom prst="rect">
                      <a:avLst/>
                    </a:prstGeom>
                    <a:noFill/>
                    <a:ln>
                      <a:solidFill>
                        <a:srgbClr val="EAEAEA"/>
                      </a:solidFill>
                    </a:ln>
                  </pic:spPr>
                </pic:pic>
              </a:graphicData>
            </a:graphic>
          </wp:inline>
        </w:drawing>
      </w:r>
    </w:p>
    <w:p w14:paraId="759103FE">
      <w:pPr>
        <w:spacing w:before="93" w:after="93"/>
        <w:ind w:firstLine="0" w:firstLineChars="0"/>
        <w:jc w:val="center"/>
      </w:pPr>
      <w:r>
        <w:rPr>
          <w:rFonts w:hint="eastAsia"/>
        </w:rPr>
        <w:t>图223-1</w:t>
      </w:r>
      <w:r>
        <w:rPr>
          <w:rFonts w:hint="eastAsia"/>
          <w:lang w:val="en-US" w:eastAsia="zh-CN"/>
        </w:rPr>
        <w:t>0</w:t>
      </w:r>
      <w:r>
        <w:rPr>
          <w:rFonts w:hint="eastAsia"/>
        </w:rPr>
        <w:t>-收文登记催办画面</w:t>
      </w:r>
    </w:p>
    <w:p w14:paraId="1C7141BE">
      <w:pPr>
        <w:spacing w:before="93" w:after="93"/>
        <w:ind w:firstLine="420"/>
      </w:pPr>
      <w:r>
        <w:rPr>
          <w:rFonts w:hint="eastAsia"/>
        </w:rPr>
        <w:t>⑤转存</w:t>
      </w:r>
    </w:p>
    <w:p w14:paraId="3415F342">
      <w:pPr>
        <w:spacing w:before="93" w:after="93"/>
        <w:ind w:firstLine="420"/>
      </w:pPr>
      <w:r>
        <w:rPr>
          <w:rFonts w:hint="eastAsia"/>
        </w:rPr>
        <w:t>选中文件，点击‘转存’按钮，可将该文件转存到文档中心、个人文件柜的指定目录下。默认的转存文件不受归档影响，便于相关人员查询文件的方便。</w:t>
      </w:r>
    </w:p>
    <w:p w14:paraId="5E3317C7">
      <w:pPr>
        <w:spacing w:before="93" w:after="93"/>
        <w:ind w:firstLine="0" w:firstLineChars="0"/>
        <w:jc w:val="center"/>
        <w:rPr>
          <w:rFonts w:hint="eastAsia"/>
        </w:rPr>
      </w:pPr>
      <w:r>
        <w:drawing>
          <wp:inline distT="0" distB="0" distL="114300" distR="114300">
            <wp:extent cx="6416040" cy="3055620"/>
            <wp:effectExtent l="9525" t="9525" r="13335" b="20955"/>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37"/>
                    <a:stretch>
                      <a:fillRect/>
                    </a:stretch>
                  </pic:blipFill>
                  <pic:spPr>
                    <a:xfrm>
                      <a:off x="0" y="0"/>
                      <a:ext cx="6416040" cy="3055620"/>
                    </a:xfrm>
                    <a:prstGeom prst="rect">
                      <a:avLst/>
                    </a:prstGeom>
                    <a:noFill/>
                    <a:ln>
                      <a:solidFill>
                        <a:srgbClr val="EAEAEA"/>
                      </a:solidFill>
                    </a:ln>
                  </pic:spPr>
                </pic:pic>
              </a:graphicData>
            </a:graphic>
          </wp:inline>
        </w:drawing>
      </w:r>
    </w:p>
    <w:p w14:paraId="4F418C80">
      <w:pPr>
        <w:spacing w:before="93" w:after="93"/>
        <w:ind w:firstLine="0" w:firstLineChars="0"/>
        <w:jc w:val="center"/>
      </w:pPr>
      <w:r>
        <w:rPr>
          <w:rFonts w:hint="eastAsia"/>
        </w:rPr>
        <w:t>图223-1</w:t>
      </w:r>
      <w:r>
        <w:rPr>
          <w:rFonts w:hint="eastAsia"/>
          <w:lang w:val="en-US" w:eastAsia="zh-CN"/>
        </w:rPr>
        <w:t>1</w:t>
      </w:r>
      <w:r>
        <w:rPr>
          <w:rFonts w:hint="eastAsia"/>
        </w:rPr>
        <w:t>-收文登记转存到画面</w:t>
      </w:r>
    </w:p>
    <w:p w14:paraId="1E2FB183">
      <w:pPr>
        <w:spacing w:before="93" w:after="93"/>
        <w:ind w:firstLine="420"/>
      </w:pPr>
      <w:r>
        <w:rPr>
          <w:rFonts w:hint="eastAsia"/>
        </w:rPr>
        <w:t>⑥转发</w:t>
      </w:r>
    </w:p>
    <w:p w14:paraId="066F3168">
      <w:pPr>
        <w:spacing w:before="93" w:after="93"/>
        <w:ind w:firstLine="420"/>
      </w:pPr>
      <w:r>
        <w:rPr>
          <w:rFonts w:hint="eastAsia"/>
        </w:rPr>
        <w:t>可自行指定转发的接收人员（被指定的人员可以是和当前流程审核无关的人员），接收人可查看流程的实际审核过程，查阅流转记录。通过转发，可以实现标准流程之外的人了解到某张单据的实际审核情况。</w:t>
      </w:r>
    </w:p>
    <w:p w14:paraId="7DF9B515">
      <w:pPr>
        <w:spacing w:before="93" w:after="93"/>
        <w:ind w:firstLine="0" w:firstLineChars="0"/>
        <w:jc w:val="center"/>
        <w:rPr>
          <w:rFonts w:hint="eastAsia"/>
        </w:rPr>
      </w:pPr>
      <w:r>
        <w:drawing>
          <wp:inline distT="0" distB="0" distL="114300" distR="114300">
            <wp:extent cx="6416040" cy="3049270"/>
            <wp:effectExtent l="9525" t="9525" r="13335" b="2730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38"/>
                    <a:stretch>
                      <a:fillRect/>
                    </a:stretch>
                  </pic:blipFill>
                  <pic:spPr>
                    <a:xfrm>
                      <a:off x="0" y="0"/>
                      <a:ext cx="6416040" cy="3049270"/>
                    </a:xfrm>
                    <a:prstGeom prst="rect">
                      <a:avLst/>
                    </a:prstGeom>
                    <a:noFill/>
                    <a:ln>
                      <a:solidFill>
                        <a:srgbClr val="EAEAEA"/>
                      </a:solidFill>
                    </a:ln>
                  </pic:spPr>
                </pic:pic>
              </a:graphicData>
            </a:graphic>
          </wp:inline>
        </w:drawing>
      </w:r>
    </w:p>
    <w:p w14:paraId="1D7F558B">
      <w:pPr>
        <w:spacing w:before="93" w:after="93"/>
        <w:ind w:firstLine="0" w:firstLineChars="0"/>
        <w:jc w:val="center"/>
      </w:pPr>
      <w:r>
        <w:rPr>
          <w:rFonts w:hint="eastAsia"/>
        </w:rPr>
        <w:t>图223-1</w:t>
      </w:r>
      <w:r>
        <w:rPr>
          <w:rFonts w:hint="eastAsia"/>
          <w:lang w:val="en-US" w:eastAsia="zh-CN"/>
        </w:rPr>
        <w:t>2</w:t>
      </w:r>
      <w:r>
        <w:rPr>
          <w:rFonts w:hint="eastAsia"/>
        </w:rPr>
        <w:t>-收文登记转发画面</w:t>
      </w:r>
    </w:p>
    <w:p w14:paraId="5AB5E16D">
      <w:pPr>
        <w:spacing w:before="93" w:after="93"/>
        <w:ind w:firstLine="420"/>
      </w:pPr>
      <w:r>
        <w:rPr>
          <w:rFonts w:hint="eastAsia"/>
        </w:rPr>
        <w:t>⑦关注</w:t>
      </w:r>
    </w:p>
    <w:p w14:paraId="65DE2734">
      <w:pPr>
        <w:spacing w:before="93" w:after="93" w:line="360" w:lineRule="auto"/>
        <w:ind w:firstLine="420"/>
      </w:pPr>
      <w:r>
        <w:rPr>
          <w:rFonts w:hint="eastAsia"/>
        </w:rPr>
        <w:t>点击流程后面的关注按钮即为关注此流程，已经关注过的流程均会在收文关注中呈现，如不在关注则在点击下关注按钮将关注取消。</w:t>
      </w:r>
    </w:p>
    <w:p w14:paraId="0E461E0E">
      <w:pPr>
        <w:spacing w:before="93" w:after="93" w:line="360" w:lineRule="auto"/>
        <w:ind w:firstLine="0" w:firstLineChars="0"/>
        <w:jc w:val="center"/>
        <w:rPr>
          <w:rFonts w:hint="eastAsia"/>
        </w:rPr>
      </w:pPr>
      <w:r>
        <w:drawing>
          <wp:inline distT="0" distB="0" distL="114300" distR="114300">
            <wp:extent cx="6416040" cy="3055620"/>
            <wp:effectExtent l="9525" t="9525" r="13335" b="20955"/>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pic:cNvPicPr>
                  </pic:nvPicPr>
                  <pic:blipFill>
                    <a:blip r:embed="rId39"/>
                    <a:stretch>
                      <a:fillRect/>
                    </a:stretch>
                  </pic:blipFill>
                  <pic:spPr>
                    <a:xfrm>
                      <a:off x="0" y="0"/>
                      <a:ext cx="6416040" cy="3055620"/>
                    </a:xfrm>
                    <a:prstGeom prst="rect">
                      <a:avLst/>
                    </a:prstGeom>
                    <a:noFill/>
                    <a:ln>
                      <a:solidFill>
                        <a:srgbClr val="EAEAEA"/>
                      </a:solidFill>
                    </a:ln>
                  </pic:spPr>
                </pic:pic>
              </a:graphicData>
            </a:graphic>
          </wp:inline>
        </w:drawing>
      </w:r>
    </w:p>
    <w:p w14:paraId="0E02BBC6">
      <w:pPr>
        <w:spacing w:before="93" w:after="93" w:line="360" w:lineRule="auto"/>
        <w:ind w:firstLine="0" w:firstLineChars="0"/>
        <w:jc w:val="center"/>
      </w:pPr>
      <w:r>
        <w:rPr>
          <w:rFonts w:hint="eastAsia"/>
        </w:rPr>
        <w:t>图223-1</w:t>
      </w:r>
      <w:r>
        <w:rPr>
          <w:rFonts w:hint="eastAsia"/>
          <w:lang w:val="en-US" w:eastAsia="zh-CN"/>
        </w:rPr>
        <w:t>3</w:t>
      </w:r>
      <w:r>
        <w:rPr>
          <w:rFonts w:hint="eastAsia"/>
        </w:rPr>
        <w:t>-收文登记关注画面</w:t>
      </w:r>
    </w:p>
    <w:p w14:paraId="3304844B">
      <w:pPr>
        <w:spacing w:before="93" w:after="93"/>
        <w:ind w:firstLine="420"/>
      </w:pPr>
      <w:r>
        <w:rPr>
          <w:rFonts w:hint="eastAsia"/>
        </w:rPr>
        <w:t>⑧颜色说明以及密级程度展示</w:t>
      </w:r>
    </w:p>
    <w:p w14:paraId="4A8F8FB5">
      <w:pPr>
        <w:spacing w:before="93" w:after="93" w:line="360" w:lineRule="auto"/>
        <w:ind w:firstLine="420"/>
        <w:rPr>
          <w:rFonts w:hint="eastAsia"/>
        </w:rPr>
      </w:pPr>
      <w:r>
        <w:rPr>
          <w:rFonts w:hint="eastAsia"/>
        </w:rPr>
        <w:t>我的收文登记中，在画面的正在进行的流程处以不同的颜色显示审批状态；如果当前文单上有密级并且已经选择，则会在标题中增加密级的标记；如果当前画面上有重要度并且已经选择，会在标题中增加重要度的标记。</w:t>
      </w:r>
    </w:p>
    <w:p w14:paraId="32392839">
      <w:pPr>
        <w:pStyle w:val="2"/>
        <w:ind w:left="0" w:leftChars="0" w:firstLine="0" w:firstLineChars="0"/>
        <w:jc w:val="center"/>
      </w:pPr>
      <w:r>
        <w:drawing>
          <wp:inline distT="0" distB="0" distL="114300" distR="114300">
            <wp:extent cx="6416040" cy="3055620"/>
            <wp:effectExtent l="9525" t="9525" r="13335" b="20955"/>
            <wp:docPr id="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pic:cNvPicPr>
                      <a:picLocks noChangeAspect="1"/>
                    </pic:cNvPicPr>
                  </pic:nvPicPr>
                  <pic:blipFill>
                    <a:blip r:embed="rId40"/>
                    <a:stretch>
                      <a:fillRect/>
                    </a:stretch>
                  </pic:blipFill>
                  <pic:spPr>
                    <a:xfrm>
                      <a:off x="0" y="0"/>
                      <a:ext cx="6416040" cy="3055620"/>
                    </a:xfrm>
                    <a:prstGeom prst="rect">
                      <a:avLst/>
                    </a:prstGeom>
                    <a:noFill/>
                    <a:ln>
                      <a:solidFill>
                        <a:srgbClr val="EAEAEA"/>
                      </a:solidFill>
                    </a:ln>
                  </pic:spPr>
                </pic:pic>
              </a:graphicData>
            </a:graphic>
          </wp:inline>
        </w:drawing>
      </w:r>
    </w:p>
    <w:p w14:paraId="169995EC">
      <w:pPr>
        <w:spacing w:before="93" w:after="93"/>
        <w:ind w:firstLine="0" w:firstLineChars="0"/>
        <w:jc w:val="center"/>
      </w:pPr>
      <w:r>
        <w:rPr>
          <w:rFonts w:hint="eastAsia"/>
        </w:rPr>
        <w:t>图223-1</w:t>
      </w:r>
      <w:r>
        <w:rPr>
          <w:rFonts w:hint="eastAsia"/>
          <w:lang w:val="en-US" w:eastAsia="zh-CN"/>
        </w:rPr>
        <w:t>4</w:t>
      </w:r>
      <w:r>
        <w:rPr>
          <w:rFonts w:hint="eastAsia"/>
        </w:rPr>
        <w:t>-收文登记密级程度画面</w:t>
      </w:r>
    </w:p>
    <w:p w14:paraId="25CEF3F8">
      <w:pPr>
        <w:spacing w:before="93" w:after="93"/>
        <w:ind w:firstLine="0" w:firstLineChars="0"/>
      </w:pPr>
    </w:p>
    <w:p w14:paraId="4FD423B3">
      <w:pPr>
        <w:pStyle w:val="4"/>
        <w:numPr>
          <w:ilvl w:val="1"/>
          <w:numId w:val="6"/>
        </w:numPr>
        <w:ind w:left="0"/>
        <w:rPr>
          <w:rFonts w:cs="Times New Roman"/>
        </w:rPr>
      </w:pPr>
      <w:bookmarkStart w:id="30" w:name="_Toc445302919"/>
      <w:bookmarkStart w:id="31" w:name="_Toc423363812"/>
      <w:bookmarkStart w:id="32" w:name="_Toc384719139"/>
      <w:bookmarkStart w:id="33" w:name="_Toc481601785"/>
      <w:bookmarkStart w:id="34" w:name="_Toc20472"/>
      <w:r>
        <w:rPr>
          <w:rFonts w:hint="eastAsia" w:cs="Times New Roman"/>
        </w:rPr>
        <w:t>待办收文</w:t>
      </w:r>
      <w:bookmarkEnd w:id="30"/>
      <w:bookmarkEnd w:id="31"/>
      <w:bookmarkEnd w:id="32"/>
      <w:bookmarkEnd w:id="33"/>
      <w:bookmarkEnd w:id="34"/>
    </w:p>
    <w:p w14:paraId="223DAED1">
      <w:pPr>
        <w:spacing w:before="93" w:after="93"/>
        <w:ind w:firstLine="420"/>
      </w:pPr>
      <w:r>
        <w:rPr>
          <w:rFonts w:hint="eastAsia"/>
        </w:rPr>
        <w:t>待办收文，即实际审核过程中流转到“我”这里，需要当前用户审核的文件信息汇总。&lt;待办收文&gt;画面就会看见此信息。审批该信息后，流转到下一步审批人。</w:t>
      </w:r>
    </w:p>
    <w:p w14:paraId="0C8CA8A4">
      <w:pPr>
        <w:spacing w:before="93" w:after="93"/>
        <w:ind w:firstLine="420"/>
      </w:pPr>
      <w:r>
        <w:rPr>
          <w:rFonts w:hint="eastAsia"/>
        </w:rPr>
        <w:t>登录OA 系统后，提示需要当前人审核的相关单据信息。点击提示信息可直接跳转到审核画面，直接就可批阅。（如果弹出信息时不在电脑前，可在菜单中的待办收文下查阅待审核的相关单据）</w:t>
      </w:r>
    </w:p>
    <w:p w14:paraId="0A63BD9E">
      <w:pPr>
        <w:spacing w:before="93" w:after="93"/>
        <w:ind w:firstLine="420"/>
      </w:pPr>
      <w:r>
        <w:rPr>
          <w:rFonts w:hint="eastAsia"/>
        </w:rPr>
        <w:t>在主菜单中的【公文收文】</w:t>
      </w:r>
      <w:r>
        <w:rPr/>
        <w:sym w:font="Wingdings" w:char="F0E0"/>
      </w:r>
      <w:r>
        <w:rPr>
          <w:rFonts w:hint="eastAsia"/>
        </w:rPr>
        <w:t>【待办收文】下，可见全部待我审批的信息。含主题、来文字号、收文登记时间、收文登记人、正在进行的流程及关注。并可对待办的信息进行查询和批量审批以及转发等。</w:t>
      </w:r>
    </w:p>
    <w:p w14:paraId="442B76A8">
      <w:pPr>
        <w:spacing w:before="93" w:after="93"/>
        <w:ind w:firstLine="0" w:firstLineChars="0"/>
        <w:jc w:val="center"/>
        <w:rPr>
          <w:rFonts w:hint="eastAsia"/>
        </w:rPr>
      </w:pPr>
      <w:r>
        <w:drawing>
          <wp:inline distT="0" distB="0" distL="114300" distR="114300">
            <wp:extent cx="6416040" cy="3052445"/>
            <wp:effectExtent l="9525" t="9525" r="13335" b="24130"/>
            <wp:docPr id="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5"/>
                    <pic:cNvPicPr>
                      <a:picLocks noChangeAspect="1"/>
                    </pic:cNvPicPr>
                  </pic:nvPicPr>
                  <pic:blipFill>
                    <a:blip r:embed="rId41"/>
                    <a:stretch>
                      <a:fillRect/>
                    </a:stretch>
                  </pic:blipFill>
                  <pic:spPr>
                    <a:xfrm>
                      <a:off x="0" y="0"/>
                      <a:ext cx="6416040" cy="3052445"/>
                    </a:xfrm>
                    <a:prstGeom prst="rect">
                      <a:avLst/>
                    </a:prstGeom>
                    <a:noFill/>
                    <a:ln>
                      <a:solidFill>
                        <a:srgbClr val="EAEAEA"/>
                      </a:solidFill>
                    </a:ln>
                  </pic:spPr>
                </pic:pic>
              </a:graphicData>
            </a:graphic>
          </wp:inline>
        </w:drawing>
      </w:r>
    </w:p>
    <w:p w14:paraId="58169FC5">
      <w:pPr>
        <w:spacing w:before="93" w:after="93"/>
        <w:ind w:firstLine="0" w:firstLineChars="0"/>
        <w:jc w:val="center"/>
      </w:pPr>
      <w:r>
        <w:rPr>
          <w:rFonts w:hint="eastAsia"/>
        </w:rPr>
        <w:t>图23-2-待办收文画面</w:t>
      </w:r>
    </w:p>
    <w:p w14:paraId="7D7290A1">
      <w:pPr>
        <w:spacing w:before="93" w:after="93" w:line="360" w:lineRule="auto"/>
        <w:ind w:firstLine="420"/>
      </w:pPr>
      <w:r>
        <w:rPr>
          <w:rFonts w:hint="eastAsia"/>
        </w:rPr>
        <w:t>下面我们看一下审批过程，即如何审批的。</w:t>
      </w:r>
    </w:p>
    <w:p w14:paraId="3AE3BC3D">
      <w:pPr>
        <w:pStyle w:val="5"/>
        <w:spacing w:before="312"/>
        <w:rPr>
          <w:rFonts w:cs="Times New Roman"/>
        </w:rPr>
      </w:pPr>
      <w:bookmarkStart w:id="35" w:name="_Toc481601786"/>
      <w:bookmarkStart w:id="36" w:name="_Toc445302920"/>
      <w:bookmarkStart w:id="37" w:name="_Toc423363813"/>
      <w:bookmarkStart w:id="38" w:name="_Toc14196"/>
      <w:r>
        <w:rPr>
          <w:rFonts w:hint="eastAsia" w:cs="Times New Roman"/>
        </w:rPr>
        <w:t>2.3.1收文审批处理</w:t>
      </w:r>
      <w:bookmarkEnd w:id="35"/>
      <w:bookmarkEnd w:id="36"/>
      <w:bookmarkEnd w:id="37"/>
      <w:bookmarkEnd w:id="38"/>
    </w:p>
    <w:p w14:paraId="76236FD1">
      <w:pPr>
        <w:spacing w:before="93" w:after="93"/>
        <w:ind w:firstLine="420"/>
      </w:pPr>
      <w:r>
        <w:rPr>
          <w:rFonts w:hint="eastAsia"/>
        </w:rPr>
        <w:t>点击待办收文的来文标题，可对提交上来的文件进行批示。</w:t>
      </w:r>
    </w:p>
    <w:p w14:paraId="397A454D">
      <w:pPr>
        <w:spacing w:before="93" w:after="93"/>
        <w:ind w:firstLine="0" w:firstLineChars="0"/>
        <w:jc w:val="center"/>
        <w:rPr>
          <w:rFonts w:hint="eastAsia"/>
        </w:rPr>
      </w:pPr>
      <w:r>
        <w:drawing>
          <wp:inline distT="0" distB="0" distL="114300" distR="114300">
            <wp:extent cx="6416040" cy="3055620"/>
            <wp:effectExtent l="9525" t="9525" r="13335" b="20955"/>
            <wp:docPr id="3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6"/>
                    <pic:cNvPicPr>
                      <a:picLocks noChangeAspect="1"/>
                    </pic:cNvPicPr>
                  </pic:nvPicPr>
                  <pic:blipFill>
                    <a:blip r:embed="rId42"/>
                    <a:stretch>
                      <a:fillRect/>
                    </a:stretch>
                  </pic:blipFill>
                  <pic:spPr>
                    <a:xfrm>
                      <a:off x="0" y="0"/>
                      <a:ext cx="6416040" cy="3055620"/>
                    </a:xfrm>
                    <a:prstGeom prst="rect">
                      <a:avLst/>
                    </a:prstGeom>
                    <a:noFill/>
                    <a:ln>
                      <a:solidFill>
                        <a:srgbClr val="EAEAEA"/>
                      </a:solidFill>
                    </a:ln>
                  </pic:spPr>
                </pic:pic>
              </a:graphicData>
            </a:graphic>
          </wp:inline>
        </w:drawing>
      </w:r>
    </w:p>
    <w:p w14:paraId="0074C72F">
      <w:pPr>
        <w:spacing w:before="93" w:after="93"/>
        <w:ind w:firstLine="0" w:firstLineChars="0"/>
        <w:jc w:val="center"/>
      </w:pPr>
      <w:r>
        <w:rPr>
          <w:rFonts w:hint="eastAsia"/>
        </w:rPr>
        <w:t>图231-1-待办收文审批处理画面</w:t>
      </w:r>
    </w:p>
    <w:p w14:paraId="0E32EE58">
      <w:pPr>
        <w:spacing w:before="93" w:after="93" w:line="360" w:lineRule="auto"/>
        <w:ind w:firstLine="420"/>
      </w:pPr>
      <w:r>
        <w:rPr>
          <w:rFonts w:hint="eastAsia"/>
        </w:rPr>
        <w:t>审批处理画面说明：</w:t>
      </w:r>
    </w:p>
    <w:p w14:paraId="5B78AF42">
      <w:pPr>
        <w:pStyle w:val="24"/>
        <w:ind w:left="420" w:leftChars="0"/>
      </w:pPr>
      <w:r>
        <w:rPr>
          <w:rFonts w:hint="eastAsia"/>
        </w:rPr>
        <w:t>拟办完成：审核人在拟办意见处填写实际的拟办意见，填写完毕后，点击【拟办完成】按钮，可提交拟办意见，拟办意见直接显示在收文单的“拟办意见”一栏。</w:t>
      </w:r>
    </w:p>
    <w:p w14:paraId="1D53DF38">
      <w:pPr>
        <w:pStyle w:val="24"/>
        <w:ind w:left="420" w:leftChars="0"/>
      </w:pPr>
      <w:r>
        <w:rPr>
          <w:rFonts w:hint="eastAsia"/>
        </w:rPr>
        <w:t>保存：审批人在审批时可通过保存进行暂存。执行保存操作后，该申请还停留在当前审核人处等待审阅。</w:t>
      </w:r>
    </w:p>
    <w:p w14:paraId="3FDF5C4C">
      <w:pPr>
        <w:pStyle w:val="24"/>
        <w:ind w:left="420" w:leftChars="0"/>
      </w:pPr>
      <w:r>
        <w:rPr>
          <w:rFonts w:hint="eastAsia"/>
        </w:rPr>
        <w:t>加签：在流转中额外的加审核。含前加签和后加签两种，前加签即指定的加签人在当前审核人之前审核处理；后加签则是当前审核人指定的加签人，在当前审核人审核后再审核。（加签只针对本次流程流程，其他申请的单子还是按标准的流程流转）</w:t>
      </w:r>
      <w:r>
        <w:rPr>
          <w:rFonts w:hint="eastAsia"/>
          <w:lang w:eastAsia="zh-CN"/>
        </w:rPr>
        <w:t>。</w:t>
      </w:r>
    </w:p>
    <w:p w14:paraId="0538AC12">
      <w:pPr>
        <w:pStyle w:val="24"/>
        <w:ind w:left="420" w:leftChars="0"/>
      </w:pPr>
      <w:r>
        <w:rPr>
          <w:rFonts w:hint="eastAsia"/>
          <w:lang w:val="en-US" w:eastAsia="zh-CN"/>
        </w:rPr>
        <w:t>添加会商人：</w:t>
      </w:r>
      <w:r>
        <w:rPr>
          <w:rFonts w:hint="eastAsia"/>
        </w:rPr>
        <w:t>当前审核人可自主添加审核人</w:t>
      </w:r>
      <w:r>
        <w:rPr>
          <w:rFonts w:hint="eastAsia"/>
          <w:lang w:eastAsia="zh-CN"/>
        </w:rPr>
        <w:t>，</w:t>
      </w:r>
      <w:r>
        <w:rPr>
          <w:rFonts w:hint="eastAsia"/>
          <w:lang w:val="en-US" w:eastAsia="zh-CN"/>
        </w:rPr>
        <w:t>添加的审核人与当前用户拥有同等的权限。若当前节点设置的是只要一人审批完成即向下流转，则添加的审核人先审批单据后，单据将向下一个节点流转，当前审核人无需再审；若当前节点设置的是全部审批人审批完成才向下流转，则当前审核人与添加的审核人都审批完毕后，单据才会向下一个节点流转。</w:t>
      </w:r>
    </w:p>
    <w:p w14:paraId="0CD12C38">
      <w:pPr>
        <w:pStyle w:val="24"/>
        <w:ind w:left="420" w:leftChars="0"/>
      </w:pPr>
      <w:r>
        <w:rPr>
          <w:rFonts w:hint="eastAsia"/>
        </w:rPr>
        <w:t>退文：当前审核人可根据情况，人工选择退回到之前的任意一步审核人，含申请人本人。</w:t>
      </w:r>
    </w:p>
    <w:p w14:paraId="23FECEA4">
      <w:pPr>
        <w:pStyle w:val="24"/>
        <w:ind w:left="420" w:leftChars="0"/>
      </w:pPr>
      <w:r>
        <w:rPr>
          <w:rFonts w:hint="eastAsia"/>
        </w:rPr>
        <w:t>退回上一步：即退回上一步审核人。</w:t>
      </w:r>
    </w:p>
    <w:p w14:paraId="429AEED6">
      <w:pPr>
        <w:pStyle w:val="24"/>
        <w:ind w:left="420" w:leftChars="0"/>
      </w:pPr>
      <w:r>
        <w:rPr>
          <w:rFonts w:hint="eastAsia"/>
        </w:rPr>
        <w:t>打印：打印当前收文单。</w:t>
      </w:r>
    </w:p>
    <w:p w14:paraId="422AA81C">
      <w:pPr>
        <w:pStyle w:val="24"/>
        <w:ind w:left="420" w:leftChars="0"/>
      </w:pPr>
      <w:r>
        <w:rPr>
          <w:rFonts w:hint="eastAsia"/>
        </w:rPr>
        <w:t>添加备注：可填写额外的意见，备注意见在流转记录中显示，其他审核人可查看。</w:t>
      </w:r>
    </w:p>
    <w:p w14:paraId="5C778D25">
      <w:pPr>
        <w:pStyle w:val="24"/>
        <w:ind w:left="420" w:leftChars="0"/>
      </w:pPr>
      <w:r>
        <w:rPr>
          <w:rFonts w:hint="eastAsia"/>
        </w:rPr>
        <w:t>批阅信息：点击此按钮，可查看该文件以往审批人的审批时间和审批意见等。</w:t>
      </w:r>
    </w:p>
    <w:p w14:paraId="77CD139E">
      <w:pPr>
        <w:pStyle w:val="24"/>
        <w:ind w:left="420" w:leftChars="0"/>
      </w:pPr>
      <w:r>
        <w:rPr>
          <w:rFonts w:hint="eastAsia"/>
        </w:rPr>
        <w:t>附件上传：可上传附件。</w:t>
      </w:r>
    </w:p>
    <w:p w14:paraId="12A3867F">
      <w:pPr>
        <w:pStyle w:val="5"/>
        <w:spacing w:before="312"/>
        <w:rPr>
          <w:rFonts w:cs="Times New Roman"/>
        </w:rPr>
      </w:pPr>
      <w:bookmarkStart w:id="39" w:name="_Toc423363814"/>
      <w:bookmarkStart w:id="40" w:name="_Toc445302921"/>
      <w:bookmarkStart w:id="41" w:name="_Toc481601787"/>
      <w:bookmarkStart w:id="42" w:name="_Toc7187"/>
      <w:r>
        <w:rPr>
          <w:rFonts w:hint="eastAsia" w:cs="Times New Roman"/>
        </w:rPr>
        <w:t>2.3.2转发</w:t>
      </w:r>
      <w:bookmarkEnd w:id="39"/>
      <w:bookmarkEnd w:id="40"/>
      <w:bookmarkEnd w:id="41"/>
      <w:bookmarkEnd w:id="42"/>
    </w:p>
    <w:p w14:paraId="6C3A523E">
      <w:pPr>
        <w:spacing w:before="93" w:after="93" w:line="360" w:lineRule="auto"/>
        <w:ind w:firstLine="420"/>
      </w:pPr>
      <w:r>
        <w:rPr>
          <w:rFonts w:hint="eastAsia"/>
        </w:rPr>
        <w:t>选中文件，通过‘转发’按钮可将该文件转到特定的人阅读。被指定人可知晓当前单据的审批人、审批记录等相关信息。</w:t>
      </w:r>
    </w:p>
    <w:p w14:paraId="02FB0A9D">
      <w:pPr>
        <w:spacing w:before="93" w:after="93" w:line="360" w:lineRule="auto"/>
        <w:ind w:firstLine="0" w:firstLineChars="0"/>
        <w:jc w:val="center"/>
        <w:rPr>
          <w:rFonts w:hint="eastAsia"/>
        </w:rPr>
      </w:pPr>
      <w:r>
        <w:drawing>
          <wp:inline distT="0" distB="0" distL="114300" distR="114300">
            <wp:extent cx="6416040" cy="3052445"/>
            <wp:effectExtent l="9525" t="9525" r="13335" b="24130"/>
            <wp:docPr id="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7"/>
                    <pic:cNvPicPr>
                      <a:picLocks noChangeAspect="1"/>
                    </pic:cNvPicPr>
                  </pic:nvPicPr>
                  <pic:blipFill>
                    <a:blip r:embed="rId43"/>
                    <a:stretch>
                      <a:fillRect/>
                    </a:stretch>
                  </pic:blipFill>
                  <pic:spPr>
                    <a:xfrm>
                      <a:off x="0" y="0"/>
                      <a:ext cx="6416040" cy="3052445"/>
                    </a:xfrm>
                    <a:prstGeom prst="rect">
                      <a:avLst/>
                    </a:prstGeom>
                    <a:noFill/>
                    <a:ln>
                      <a:solidFill>
                        <a:srgbClr val="EAEAEA"/>
                      </a:solidFill>
                    </a:ln>
                  </pic:spPr>
                </pic:pic>
              </a:graphicData>
            </a:graphic>
          </wp:inline>
        </w:drawing>
      </w:r>
    </w:p>
    <w:p w14:paraId="1347F5D9">
      <w:pPr>
        <w:spacing w:before="93" w:after="93" w:line="360" w:lineRule="auto"/>
        <w:ind w:firstLine="0" w:firstLineChars="0"/>
        <w:jc w:val="center"/>
      </w:pPr>
      <w:r>
        <w:rPr>
          <w:rFonts w:hint="eastAsia"/>
        </w:rPr>
        <w:t>图232-1-待办收文转发画面</w:t>
      </w:r>
    </w:p>
    <w:p w14:paraId="2DBDB54D">
      <w:pPr>
        <w:pStyle w:val="5"/>
        <w:spacing w:before="312"/>
        <w:rPr>
          <w:rFonts w:cs="Times New Roman"/>
        </w:rPr>
      </w:pPr>
      <w:bookmarkStart w:id="43" w:name="_Toc8493"/>
      <w:r>
        <w:rPr>
          <w:rFonts w:hint="eastAsia" w:cs="Times New Roman"/>
        </w:rPr>
        <w:t>2.3.3批量审批</w:t>
      </w:r>
      <w:bookmarkEnd w:id="43"/>
    </w:p>
    <w:p w14:paraId="2B1C86D6">
      <w:pPr>
        <w:spacing w:before="93" w:after="93"/>
        <w:ind w:firstLine="420"/>
      </w:pPr>
      <w:r>
        <w:rPr>
          <w:rFonts w:hint="eastAsia"/>
        </w:rPr>
        <w:t>可同时勾选多条待办收文，批量进行审批操作。</w:t>
      </w:r>
    </w:p>
    <w:p w14:paraId="7117E048">
      <w:pPr>
        <w:spacing w:before="93" w:after="93"/>
        <w:ind w:firstLine="0" w:firstLineChars="0"/>
        <w:jc w:val="center"/>
        <w:rPr>
          <w:rFonts w:hint="eastAsia"/>
        </w:rPr>
      </w:pPr>
      <w:r>
        <w:drawing>
          <wp:inline distT="0" distB="0" distL="114300" distR="114300">
            <wp:extent cx="6416040" cy="3058795"/>
            <wp:effectExtent l="9525" t="9525" r="13335" b="17780"/>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8"/>
                    <pic:cNvPicPr>
                      <a:picLocks noChangeAspect="1"/>
                    </pic:cNvPicPr>
                  </pic:nvPicPr>
                  <pic:blipFill>
                    <a:blip r:embed="rId44"/>
                    <a:stretch>
                      <a:fillRect/>
                    </a:stretch>
                  </pic:blipFill>
                  <pic:spPr>
                    <a:xfrm>
                      <a:off x="0" y="0"/>
                      <a:ext cx="6416040" cy="3058795"/>
                    </a:xfrm>
                    <a:prstGeom prst="rect">
                      <a:avLst/>
                    </a:prstGeom>
                    <a:noFill/>
                    <a:ln>
                      <a:solidFill>
                        <a:srgbClr val="EAEAEA"/>
                      </a:solidFill>
                    </a:ln>
                  </pic:spPr>
                </pic:pic>
              </a:graphicData>
            </a:graphic>
          </wp:inline>
        </w:drawing>
      </w:r>
    </w:p>
    <w:p w14:paraId="49CDB116">
      <w:pPr>
        <w:spacing w:before="93" w:after="93"/>
        <w:ind w:firstLine="0" w:firstLineChars="0"/>
        <w:jc w:val="center"/>
      </w:pPr>
      <w:r>
        <w:rPr>
          <w:rFonts w:hint="eastAsia"/>
        </w:rPr>
        <w:t>图233-1-待办收文批量审批画面</w:t>
      </w:r>
    </w:p>
    <w:p w14:paraId="05E77230">
      <w:pPr>
        <w:pStyle w:val="5"/>
        <w:spacing w:before="312"/>
        <w:rPr>
          <w:rFonts w:cs="Times New Roman"/>
        </w:rPr>
      </w:pPr>
      <w:bookmarkStart w:id="44" w:name="_Toc481601788"/>
      <w:bookmarkStart w:id="45" w:name="_Toc11373"/>
      <w:r>
        <w:rPr>
          <w:rFonts w:hint="eastAsia" w:cs="Times New Roman"/>
        </w:rPr>
        <w:t>2.3.4关注</w:t>
      </w:r>
      <w:bookmarkEnd w:id="44"/>
      <w:bookmarkEnd w:id="45"/>
    </w:p>
    <w:p w14:paraId="1EA4654C">
      <w:pPr>
        <w:spacing w:before="93" w:after="93"/>
        <w:ind w:firstLine="420"/>
      </w:pPr>
      <w:r>
        <w:rPr>
          <w:rFonts w:hint="eastAsia"/>
        </w:rPr>
        <w:t>点击流程后面的关注按钮即为关注此流程，已经关注过的流程均会在收文关注中呈现，如不在关注则在点击下关注按钮将关注取消。</w:t>
      </w:r>
    </w:p>
    <w:p w14:paraId="6744A606">
      <w:pPr>
        <w:spacing w:before="93" w:after="93"/>
        <w:ind w:firstLine="0" w:firstLineChars="0"/>
        <w:jc w:val="center"/>
        <w:rPr>
          <w:rFonts w:hint="eastAsia"/>
        </w:rPr>
      </w:pPr>
      <w:r>
        <w:drawing>
          <wp:inline distT="0" distB="0" distL="114300" distR="114300">
            <wp:extent cx="6416040" cy="3052445"/>
            <wp:effectExtent l="9525" t="9525" r="13335" b="24130"/>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9"/>
                    <pic:cNvPicPr>
                      <a:picLocks noChangeAspect="1"/>
                    </pic:cNvPicPr>
                  </pic:nvPicPr>
                  <pic:blipFill>
                    <a:blip r:embed="rId45"/>
                    <a:stretch>
                      <a:fillRect/>
                    </a:stretch>
                  </pic:blipFill>
                  <pic:spPr>
                    <a:xfrm>
                      <a:off x="0" y="0"/>
                      <a:ext cx="6416040" cy="3052445"/>
                    </a:xfrm>
                    <a:prstGeom prst="rect">
                      <a:avLst/>
                    </a:prstGeom>
                    <a:noFill/>
                    <a:ln>
                      <a:solidFill>
                        <a:srgbClr val="EAEAEA"/>
                      </a:solidFill>
                    </a:ln>
                  </pic:spPr>
                </pic:pic>
              </a:graphicData>
            </a:graphic>
          </wp:inline>
        </w:drawing>
      </w:r>
    </w:p>
    <w:p w14:paraId="540C209B">
      <w:pPr>
        <w:spacing w:before="93" w:after="93"/>
        <w:ind w:firstLine="0" w:firstLineChars="0"/>
        <w:jc w:val="center"/>
      </w:pPr>
      <w:r>
        <w:rPr>
          <w:rFonts w:hint="eastAsia"/>
        </w:rPr>
        <w:t>图234-1-待办收文关注画面</w:t>
      </w:r>
    </w:p>
    <w:p w14:paraId="057527DA">
      <w:pPr>
        <w:spacing w:before="93" w:after="93"/>
        <w:ind w:firstLine="0" w:firstLineChars="0"/>
      </w:pPr>
    </w:p>
    <w:p w14:paraId="657F546D">
      <w:pPr>
        <w:pStyle w:val="4"/>
        <w:numPr>
          <w:ilvl w:val="1"/>
          <w:numId w:val="6"/>
        </w:numPr>
        <w:ind w:left="0"/>
        <w:rPr>
          <w:rFonts w:cs="Times New Roman"/>
        </w:rPr>
      </w:pPr>
      <w:bookmarkStart w:id="46" w:name="_Toc481601789"/>
      <w:bookmarkStart w:id="47" w:name="_Toc384719141"/>
      <w:bookmarkStart w:id="48" w:name="_Toc24757"/>
      <w:bookmarkStart w:id="49" w:name="_Toc423363816"/>
      <w:bookmarkStart w:id="50" w:name="_Toc445302923"/>
      <w:r>
        <w:rPr>
          <w:rFonts w:hint="eastAsia" w:cs="Times New Roman"/>
        </w:rPr>
        <w:t>待阅收文</w:t>
      </w:r>
      <w:bookmarkEnd w:id="46"/>
      <w:bookmarkEnd w:id="47"/>
      <w:bookmarkEnd w:id="48"/>
      <w:bookmarkEnd w:id="49"/>
      <w:bookmarkEnd w:id="50"/>
    </w:p>
    <w:p w14:paraId="7BF42706">
      <w:pPr>
        <w:spacing w:before="93" w:after="93"/>
        <w:ind w:firstLine="420"/>
      </w:pPr>
      <w:r>
        <w:rPr>
          <w:rFonts w:hint="eastAsia"/>
        </w:rPr>
        <w:t>待阅收文，即所有需要当前用户“我”阅读的文件。</w:t>
      </w:r>
    </w:p>
    <w:p w14:paraId="4A07F241">
      <w:pPr>
        <w:spacing w:before="93" w:after="93"/>
        <w:ind w:firstLine="420"/>
      </w:pPr>
      <w:r>
        <w:rPr>
          <w:rFonts w:hint="eastAsia"/>
        </w:rPr>
        <w:t>待阅收文下，只有别人分收文件后才有可阅读的信息。如果没分收文件，待阅收文中无记录。未读的信息主题文字加粗显示。在待阅收文中，可按分发人、主题、来文字号、关注状态、阅读日期进行查询。</w:t>
      </w:r>
    </w:p>
    <w:p w14:paraId="42AFB378">
      <w:pPr>
        <w:spacing w:before="93" w:after="93"/>
        <w:ind w:firstLine="0" w:firstLineChars="0"/>
        <w:jc w:val="center"/>
        <w:rPr>
          <w:rFonts w:hint="eastAsia"/>
        </w:rPr>
      </w:pPr>
      <w:r>
        <w:drawing>
          <wp:inline distT="0" distB="0" distL="114300" distR="114300">
            <wp:extent cx="6416040" cy="3058795"/>
            <wp:effectExtent l="9525" t="9525" r="13335" b="1778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46"/>
                    <a:stretch>
                      <a:fillRect/>
                    </a:stretch>
                  </pic:blipFill>
                  <pic:spPr>
                    <a:xfrm>
                      <a:off x="0" y="0"/>
                      <a:ext cx="6416040" cy="3058795"/>
                    </a:xfrm>
                    <a:prstGeom prst="rect">
                      <a:avLst/>
                    </a:prstGeom>
                    <a:noFill/>
                    <a:ln>
                      <a:solidFill>
                        <a:srgbClr val="EAEAEA"/>
                      </a:solidFill>
                    </a:ln>
                  </pic:spPr>
                </pic:pic>
              </a:graphicData>
            </a:graphic>
          </wp:inline>
        </w:drawing>
      </w:r>
    </w:p>
    <w:p w14:paraId="26309466">
      <w:pPr>
        <w:spacing w:before="93" w:after="93"/>
        <w:ind w:firstLine="0" w:firstLineChars="0"/>
        <w:jc w:val="center"/>
      </w:pPr>
      <w:r>
        <w:rPr>
          <w:rFonts w:hint="eastAsia"/>
        </w:rPr>
        <w:t>图24-1-待阅收文画面</w:t>
      </w:r>
    </w:p>
    <w:p w14:paraId="2D5952F1">
      <w:pPr>
        <w:spacing w:before="93" w:after="93"/>
        <w:ind w:firstLine="420"/>
      </w:pPr>
      <w:r>
        <w:rPr>
          <w:rFonts w:hint="eastAsia"/>
        </w:rPr>
        <w:t>点击主题，可查看文件的具体信息，并可输入阅读意见。</w:t>
      </w:r>
    </w:p>
    <w:p w14:paraId="6A625A24">
      <w:pPr>
        <w:spacing w:before="93" w:after="93"/>
        <w:ind w:firstLine="0" w:firstLineChars="0"/>
        <w:jc w:val="center"/>
        <w:rPr>
          <w:rFonts w:hint="eastAsia"/>
        </w:rPr>
      </w:pPr>
      <w:r>
        <w:drawing>
          <wp:inline distT="0" distB="0" distL="114300" distR="114300">
            <wp:extent cx="6416040" cy="3049270"/>
            <wp:effectExtent l="9525" t="9525" r="13335" b="27305"/>
            <wp:docPr id="4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1"/>
                    <pic:cNvPicPr>
                      <a:picLocks noChangeAspect="1"/>
                    </pic:cNvPicPr>
                  </pic:nvPicPr>
                  <pic:blipFill>
                    <a:blip r:embed="rId47"/>
                    <a:stretch>
                      <a:fillRect/>
                    </a:stretch>
                  </pic:blipFill>
                  <pic:spPr>
                    <a:xfrm>
                      <a:off x="0" y="0"/>
                      <a:ext cx="6416040" cy="3049270"/>
                    </a:xfrm>
                    <a:prstGeom prst="rect">
                      <a:avLst/>
                    </a:prstGeom>
                    <a:noFill/>
                    <a:ln>
                      <a:solidFill>
                        <a:srgbClr val="EAEAEA"/>
                      </a:solidFill>
                    </a:ln>
                  </pic:spPr>
                </pic:pic>
              </a:graphicData>
            </a:graphic>
          </wp:inline>
        </w:drawing>
      </w:r>
    </w:p>
    <w:p w14:paraId="47CB712C">
      <w:pPr>
        <w:spacing w:before="93" w:after="93"/>
        <w:ind w:firstLine="0" w:firstLineChars="0"/>
        <w:jc w:val="center"/>
      </w:pPr>
      <w:r>
        <w:rPr>
          <w:rFonts w:hint="eastAsia"/>
        </w:rPr>
        <w:t>图24-2-待阅收文阅读意见填写画面</w:t>
      </w:r>
    </w:p>
    <w:p w14:paraId="7D74C8F1">
      <w:pPr>
        <w:spacing w:before="93" w:after="93" w:line="360" w:lineRule="auto"/>
        <w:ind w:firstLine="420"/>
        <w:rPr>
          <w:rFonts w:hint="eastAsia"/>
        </w:rPr>
      </w:pPr>
      <w:r>
        <w:rPr>
          <w:rFonts w:hint="eastAsia"/>
        </w:rPr>
        <w:t>在意见处输入个人意见保存，他人可查看对应人的阅读意见。同样此处的待阅收文也支持关注。</w:t>
      </w:r>
    </w:p>
    <w:p w14:paraId="15AA4F30">
      <w:pPr>
        <w:pStyle w:val="2"/>
        <w:ind w:left="0" w:leftChars="0" w:firstLine="0" w:firstLineChars="0"/>
      </w:pPr>
    </w:p>
    <w:p w14:paraId="6F52938F">
      <w:pPr>
        <w:pStyle w:val="4"/>
        <w:numPr>
          <w:ilvl w:val="1"/>
          <w:numId w:val="6"/>
        </w:numPr>
        <w:ind w:left="0"/>
        <w:rPr>
          <w:rFonts w:cs="Times New Roman"/>
        </w:rPr>
      </w:pPr>
      <w:bookmarkStart w:id="51" w:name="_Toc423363817"/>
      <w:bookmarkStart w:id="52" w:name="_Toc481601790"/>
      <w:bookmarkStart w:id="53" w:name="_Toc445302924"/>
      <w:bookmarkStart w:id="54" w:name="_Toc384719140"/>
      <w:bookmarkStart w:id="55" w:name="_Toc4279"/>
      <w:r>
        <w:rPr>
          <w:rFonts w:hint="eastAsia" w:cs="Times New Roman"/>
        </w:rPr>
        <w:t>经办收文</w:t>
      </w:r>
      <w:bookmarkEnd w:id="51"/>
      <w:bookmarkEnd w:id="52"/>
      <w:bookmarkEnd w:id="53"/>
      <w:bookmarkEnd w:id="54"/>
      <w:bookmarkEnd w:id="55"/>
    </w:p>
    <w:p w14:paraId="4613CA04">
      <w:pPr>
        <w:spacing w:before="93" w:after="93"/>
        <w:ind w:firstLine="420"/>
      </w:pPr>
      <w:r>
        <w:rPr>
          <w:rFonts w:hint="eastAsia"/>
        </w:rPr>
        <w:t>经办收文，指所有经“我”批阅过的文件。</w:t>
      </w:r>
    </w:p>
    <w:p w14:paraId="627432F9">
      <w:pPr>
        <w:spacing w:before="93" w:after="93"/>
        <w:ind w:firstLine="420"/>
      </w:pPr>
      <w:r>
        <w:rPr>
          <w:rFonts w:hint="eastAsia"/>
        </w:rPr>
        <w:t>菜单中，【公文收文】</w:t>
      </w:r>
      <w:r>
        <w:rPr/>
        <w:sym w:font="Wingdings" w:char="F0E0"/>
      </w:r>
      <w:r>
        <w:rPr>
          <w:rFonts w:hint="eastAsia"/>
        </w:rPr>
        <w:t>【经办收文】下，可见全部经我审批的信息。含主题、登记人、收文登记时间、审批时间、来文字号、正在进行的流程、关注等信息。并可对经办的信息进行查询和转发、转存、催办及查看批阅信息等操作。</w:t>
      </w:r>
    </w:p>
    <w:p w14:paraId="75742548">
      <w:pPr>
        <w:spacing w:before="93" w:after="93"/>
        <w:ind w:firstLine="0" w:firstLineChars="0"/>
        <w:jc w:val="center"/>
        <w:rPr>
          <w:rFonts w:hint="eastAsia"/>
        </w:rPr>
      </w:pPr>
      <w:r>
        <w:drawing>
          <wp:inline distT="0" distB="0" distL="114300" distR="114300">
            <wp:extent cx="6416040" cy="3055620"/>
            <wp:effectExtent l="9525" t="9525" r="13335" b="20955"/>
            <wp:docPr id="4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2"/>
                    <pic:cNvPicPr>
                      <a:picLocks noChangeAspect="1"/>
                    </pic:cNvPicPr>
                  </pic:nvPicPr>
                  <pic:blipFill>
                    <a:blip r:embed="rId48"/>
                    <a:stretch>
                      <a:fillRect/>
                    </a:stretch>
                  </pic:blipFill>
                  <pic:spPr>
                    <a:xfrm>
                      <a:off x="0" y="0"/>
                      <a:ext cx="6416040" cy="3055620"/>
                    </a:xfrm>
                    <a:prstGeom prst="rect">
                      <a:avLst/>
                    </a:prstGeom>
                    <a:noFill/>
                    <a:ln>
                      <a:solidFill>
                        <a:srgbClr val="EAEAEA"/>
                      </a:solidFill>
                    </a:ln>
                  </pic:spPr>
                </pic:pic>
              </a:graphicData>
            </a:graphic>
          </wp:inline>
        </w:drawing>
      </w:r>
    </w:p>
    <w:p w14:paraId="76253B40">
      <w:pPr>
        <w:spacing w:before="93" w:after="93"/>
        <w:ind w:firstLine="0" w:firstLineChars="0"/>
        <w:jc w:val="center"/>
        <w:rPr>
          <w:rFonts w:hint="eastAsia"/>
        </w:rPr>
      </w:pPr>
      <w:r>
        <w:rPr>
          <w:rFonts w:hint="eastAsia"/>
        </w:rPr>
        <w:t>图25-1-经办收文画面</w:t>
      </w:r>
    </w:p>
    <w:p w14:paraId="546C64FA">
      <w:pPr>
        <w:pStyle w:val="2"/>
        <w:ind w:left="0" w:leftChars="0" w:firstLine="0" w:firstLineChars="0"/>
        <w:jc w:val="center"/>
      </w:pPr>
      <w:r>
        <w:drawing>
          <wp:inline distT="0" distB="0" distL="114300" distR="114300">
            <wp:extent cx="6416040" cy="3055620"/>
            <wp:effectExtent l="9525" t="9525" r="13335" b="2095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49"/>
                    <a:stretch>
                      <a:fillRect/>
                    </a:stretch>
                  </pic:blipFill>
                  <pic:spPr>
                    <a:xfrm>
                      <a:off x="0" y="0"/>
                      <a:ext cx="6416040" cy="3055620"/>
                    </a:xfrm>
                    <a:prstGeom prst="rect">
                      <a:avLst/>
                    </a:prstGeom>
                    <a:noFill/>
                    <a:ln>
                      <a:solidFill>
                        <a:srgbClr val="EAEAEA"/>
                      </a:solidFill>
                    </a:ln>
                  </pic:spPr>
                </pic:pic>
              </a:graphicData>
            </a:graphic>
          </wp:inline>
        </w:drawing>
      </w:r>
    </w:p>
    <w:p w14:paraId="714FFE2B">
      <w:pPr>
        <w:spacing w:before="93" w:after="93"/>
        <w:ind w:firstLine="0" w:firstLineChars="0"/>
        <w:jc w:val="center"/>
      </w:pPr>
      <w:r>
        <w:rPr>
          <w:rFonts w:hint="eastAsia"/>
        </w:rPr>
        <w:t>图25-</w:t>
      </w:r>
      <w:r>
        <w:rPr>
          <w:rFonts w:hint="eastAsia"/>
          <w:lang w:val="en-US" w:eastAsia="zh-CN"/>
        </w:rPr>
        <w:t>2</w:t>
      </w:r>
      <w:r>
        <w:rPr>
          <w:rFonts w:hint="eastAsia"/>
        </w:rPr>
        <w:t>-收文</w:t>
      </w:r>
      <w:r>
        <w:rPr>
          <w:rFonts w:hint="eastAsia"/>
          <w:lang w:val="en-US" w:eastAsia="zh-CN"/>
        </w:rPr>
        <w:t>单</w:t>
      </w:r>
      <w:r>
        <w:rPr>
          <w:rFonts w:hint="eastAsia"/>
        </w:rPr>
        <w:t>画面</w:t>
      </w:r>
    </w:p>
    <w:p w14:paraId="54236D03">
      <w:pPr>
        <w:spacing w:before="93" w:after="93"/>
        <w:ind w:firstLine="420"/>
        <w:rPr>
          <w:rFonts w:hint="eastAsia"/>
        </w:rPr>
      </w:pPr>
      <w:r>
        <w:rPr>
          <w:rFonts w:hint="eastAsia"/>
        </w:rPr>
        <w:t>点击文件主题，可查阅当前文件的收文单。在已审核完成处，可见到相关审核人的意见及签名。</w:t>
      </w:r>
    </w:p>
    <w:p w14:paraId="1BFC8A3B">
      <w:pPr>
        <w:pStyle w:val="24"/>
        <w:ind w:left="420" w:leftChars="0"/>
      </w:pPr>
      <w:r>
        <w:rPr>
          <w:rFonts w:hint="eastAsia"/>
        </w:rPr>
        <w:t>撤回：即当前审核人审批后，认为本身有错误，可以有撤回的权限。通过撤回，当前审核人可以再次审阅，确认后再次向下提交审核。</w:t>
      </w:r>
    </w:p>
    <w:p w14:paraId="4057E97D">
      <w:pPr>
        <w:pStyle w:val="24"/>
        <w:ind w:left="420" w:leftChars="0"/>
      </w:pPr>
      <w:r>
        <w:rPr>
          <w:rFonts w:hint="eastAsia"/>
        </w:rPr>
        <w:t>转发：可将已审核过的文件转发给特定人员。被转发人可查阅收文单的流转记录及相关附件（被转发人不参与流程审核）</w:t>
      </w:r>
    </w:p>
    <w:p w14:paraId="4D745352">
      <w:pPr>
        <w:pStyle w:val="24"/>
        <w:ind w:left="420" w:leftChars="0"/>
      </w:pPr>
      <w:r>
        <w:rPr>
          <w:rFonts w:hint="eastAsia"/>
          <w:lang w:val="en-US" w:eastAsia="zh-CN"/>
        </w:rPr>
        <w:t>打印：</w:t>
      </w:r>
      <w:r>
        <w:rPr>
          <w:rFonts w:hint="eastAsia"/>
        </w:rPr>
        <w:t>可打印当前收文单。</w:t>
      </w:r>
    </w:p>
    <w:p w14:paraId="4952D323">
      <w:pPr>
        <w:pStyle w:val="24"/>
        <w:ind w:left="420" w:leftChars="0"/>
      </w:pPr>
      <w:r>
        <w:rPr>
          <w:rFonts w:hint="eastAsia"/>
          <w:lang w:val="en-US" w:eastAsia="zh-CN"/>
        </w:rPr>
        <w:t>批阅信息：</w:t>
      </w:r>
      <w:r>
        <w:rPr>
          <w:rFonts w:hint="eastAsia"/>
        </w:rPr>
        <w:t>点击【批阅信息】按钮，可查看该申请的流转相关信息。</w:t>
      </w:r>
    </w:p>
    <w:p w14:paraId="4C1C5D14">
      <w:pPr>
        <w:spacing w:before="93" w:after="93" w:line="360" w:lineRule="auto"/>
        <w:ind w:firstLine="420"/>
        <w:rPr>
          <w:rFonts w:hint="eastAsia"/>
        </w:rPr>
      </w:pPr>
      <w:r>
        <w:rPr>
          <w:rFonts w:hint="eastAsia"/>
        </w:rPr>
        <w:t>具体的可查阅文件的详细信息、批阅信息，并可进行查询及转发、转存、催办等操作，同待办收文的相关功能项一致。</w:t>
      </w:r>
    </w:p>
    <w:p w14:paraId="30413117">
      <w:pPr>
        <w:pStyle w:val="2"/>
        <w:ind w:left="0" w:leftChars="0" w:firstLine="0" w:firstLineChars="0"/>
      </w:pPr>
    </w:p>
    <w:p w14:paraId="1F1E9813">
      <w:pPr>
        <w:pStyle w:val="4"/>
        <w:numPr>
          <w:ilvl w:val="1"/>
          <w:numId w:val="6"/>
        </w:numPr>
        <w:ind w:left="0"/>
        <w:rPr>
          <w:rFonts w:cs="Times New Roman"/>
        </w:rPr>
      </w:pPr>
      <w:bookmarkStart w:id="56" w:name="_Toc423363818"/>
      <w:bookmarkStart w:id="57" w:name="_Toc481601791"/>
      <w:bookmarkStart w:id="58" w:name="_Toc384902666"/>
      <w:bookmarkStart w:id="59" w:name="_Toc445302925"/>
      <w:bookmarkStart w:id="60" w:name="_Toc27985"/>
      <w:r>
        <w:rPr>
          <w:rFonts w:hint="eastAsia" w:cs="Times New Roman"/>
        </w:rPr>
        <w:t>承办收文</w:t>
      </w:r>
      <w:bookmarkEnd w:id="56"/>
      <w:bookmarkEnd w:id="57"/>
      <w:bookmarkEnd w:id="58"/>
      <w:bookmarkEnd w:id="59"/>
      <w:bookmarkEnd w:id="60"/>
    </w:p>
    <w:p w14:paraId="12E48768">
      <w:pPr>
        <w:spacing w:before="93" w:after="93"/>
        <w:ind w:firstLine="420"/>
      </w:pPr>
      <w:r>
        <w:rPr>
          <w:rFonts w:hint="eastAsia"/>
        </w:rPr>
        <w:t>承办收文，在公文收文中特指处理需要承办的文件。（承阅是公文收文的功能项，通过承阅节点，阅办人可直接将文件送办给下属科室或人员，下属的科室人员还可以继续向下送办。送办过程中承办人可直接指定，不受流程的直接限定）</w:t>
      </w:r>
    </w:p>
    <w:p w14:paraId="7F752F31">
      <w:pPr>
        <w:spacing w:before="93" w:after="93"/>
        <w:ind w:firstLine="0" w:firstLineChars="0"/>
        <w:jc w:val="center"/>
        <w:rPr>
          <w:rFonts w:hint="eastAsia"/>
        </w:rPr>
      </w:pPr>
      <w:r>
        <w:drawing>
          <wp:inline distT="0" distB="0" distL="114300" distR="114300">
            <wp:extent cx="6416040" cy="3055620"/>
            <wp:effectExtent l="9525" t="9525" r="13335" b="20955"/>
            <wp:docPr id="4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4"/>
                    <pic:cNvPicPr>
                      <a:picLocks noChangeAspect="1"/>
                    </pic:cNvPicPr>
                  </pic:nvPicPr>
                  <pic:blipFill>
                    <a:blip r:embed="rId50"/>
                    <a:stretch>
                      <a:fillRect/>
                    </a:stretch>
                  </pic:blipFill>
                  <pic:spPr>
                    <a:xfrm>
                      <a:off x="0" y="0"/>
                      <a:ext cx="6416040" cy="3055620"/>
                    </a:xfrm>
                    <a:prstGeom prst="rect">
                      <a:avLst/>
                    </a:prstGeom>
                    <a:noFill/>
                    <a:ln>
                      <a:solidFill>
                        <a:srgbClr val="EAEAEA"/>
                      </a:solidFill>
                    </a:ln>
                  </pic:spPr>
                </pic:pic>
              </a:graphicData>
            </a:graphic>
          </wp:inline>
        </w:drawing>
      </w:r>
    </w:p>
    <w:p w14:paraId="44C8D716">
      <w:pPr>
        <w:spacing w:before="93" w:after="93"/>
        <w:ind w:firstLine="0" w:firstLineChars="0"/>
        <w:jc w:val="center"/>
      </w:pPr>
      <w:r>
        <w:rPr>
          <w:rFonts w:hint="eastAsia"/>
        </w:rPr>
        <w:t>图26-1-承办收文画面</w:t>
      </w:r>
    </w:p>
    <w:p w14:paraId="6302BF12">
      <w:pPr>
        <w:spacing w:before="93" w:after="93"/>
        <w:ind w:firstLine="420"/>
      </w:pPr>
      <w:r>
        <w:rPr>
          <w:rFonts w:hint="eastAsia"/>
        </w:rPr>
        <w:t>在承办收文处，可选择文件进行承办。具体的承办同待办收文相同。并且，可在承办收文处根据模板、登记日期、主题、来文字号、登记人等进行查询。</w:t>
      </w:r>
    </w:p>
    <w:p w14:paraId="5B426763">
      <w:pPr>
        <w:spacing w:before="93" w:after="93"/>
        <w:ind w:firstLine="420"/>
      </w:pPr>
      <w:r>
        <w:rPr>
          <w:rFonts w:hint="eastAsia"/>
        </w:rPr>
        <w:t>在承办收文中可对选中的收文进行办理以及批阅信息的查看，在承办信息查看中能够查看全部的承办人和承办意见；同时还可填加此收文的承办报告。</w:t>
      </w:r>
    </w:p>
    <w:p w14:paraId="6393EBE2">
      <w:pPr>
        <w:spacing w:before="93" w:after="93"/>
        <w:ind w:firstLine="0" w:firstLineChars="0"/>
        <w:jc w:val="center"/>
        <w:rPr>
          <w:rFonts w:hint="eastAsia"/>
        </w:rPr>
      </w:pPr>
      <w:r>
        <w:drawing>
          <wp:inline distT="0" distB="0" distL="114300" distR="114300">
            <wp:extent cx="6416040" cy="3058795"/>
            <wp:effectExtent l="9525" t="9525" r="13335" b="17780"/>
            <wp:docPr id="4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5"/>
                    <pic:cNvPicPr>
                      <a:picLocks noChangeAspect="1"/>
                    </pic:cNvPicPr>
                  </pic:nvPicPr>
                  <pic:blipFill>
                    <a:blip r:embed="rId51"/>
                    <a:stretch>
                      <a:fillRect/>
                    </a:stretch>
                  </pic:blipFill>
                  <pic:spPr>
                    <a:xfrm>
                      <a:off x="0" y="0"/>
                      <a:ext cx="6416040" cy="3058795"/>
                    </a:xfrm>
                    <a:prstGeom prst="rect">
                      <a:avLst/>
                    </a:prstGeom>
                    <a:noFill/>
                    <a:ln>
                      <a:solidFill>
                        <a:srgbClr val="EAEAEA"/>
                      </a:solidFill>
                    </a:ln>
                  </pic:spPr>
                </pic:pic>
              </a:graphicData>
            </a:graphic>
          </wp:inline>
        </w:drawing>
      </w:r>
    </w:p>
    <w:p w14:paraId="73A5CFD5">
      <w:pPr>
        <w:spacing w:before="93" w:after="93"/>
        <w:ind w:firstLine="0" w:firstLineChars="0"/>
        <w:jc w:val="center"/>
      </w:pPr>
      <w:r>
        <w:rPr>
          <w:rFonts w:hint="eastAsia"/>
        </w:rPr>
        <w:t>图26-2-承办收文查看画面</w:t>
      </w:r>
    </w:p>
    <w:p w14:paraId="045E1044">
      <w:pPr>
        <w:spacing w:before="93" w:after="93"/>
        <w:ind w:firstLine="0" w:firstLineChars="0"/>
        <w:jc w:val="center"/>
        <w:rPr>
          <w:rFonts w:hint="eastAsia"/>
        </w:rPr>
      </w:pPr>
      <w:r>
        <w:drawing>
          <wp:inline distT="0" distB="0" distL="114300" distR="114300">
            <wp:extent cx="6416040" cy="3052445"/>
            <wp:effectExtent l="9525" t="9525" r="13335" b="24130"/>
            <wp:docPr id="4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6"/>
                    <pic:cNvPicPr>
                      <a:picLocks noChangeAspect="1"/>
                    </pic:cNvPicPr>
                  </pic:nvPicPr>
                  <pic:blipFill>
                    <a:blip r:embed="rId52"/>
                    <a:stretch>
                      <a:fillRect/>
                    </a:stretch>
                  </pic:blipFill>
                  <pic:spPr>
                    <a:xfrm>
                      <a:off x="0" y="0"/>
                      <a:ext cx="6416040" cy="3052445"/>
                    </a:xfrm>
                    <a:prstGeom prst="rect">
                      <a:avLst/>
                    </a:prstGeom>
                    <a:noFill/>
                    <a:ln>
                      <a:solidFill>
                        <a:srgbClr val="EAEAEA"/>
                      </a:solidFill>
                    </a:ln>
                  </pic:spPr>
                </pic:pic>
              </a:graphicData>
            </a:graphic>
          </wp:inline>
        </w:drawing>
      </w:r>
    </w:p>
    <w:p w14:paraId="72F62055">
      <w:pPr>
        <w:spacing w:before="93" w:after="93"/>
        <w:ind w:firstLine="0" w:firstLineChars="0"/>
        <w:jc w:val="center"/>
      </w:pPr>
      <w:r>
        <w:rPr>
          <w:rFonts w:hint="eastAsia"/>
        </w:rPr>
        <w:t>图26-3-承办收文批阅信息承办信息画面</w:t>
      </w:r>
    </w:p>
    <w:p w14:paraId="06A7EFE0">
      <w:pPr>
        <w:spacing w:before="93" w:after="93"/>
        <w:ind w:firstLine="420"/>
      </w:pPr>
      <w:r>
        <w:rPr>
          <w:rFonts w:hint="eastAsia"/>
        </w:rPr>
        <w:t>任何一个承办人都可以提交或修改承办结果报告，能够看到该收文单的任何一个用户都能够查看到该报告，并对报告进行评论。</w:t>
      </w:r>
    </w:p>
    <w:p w14:paraId="38E61A8B">
      <w:pPr>
        <w:spacing w:before="93" w:after="93"/>
        <w:ind w:firstLine="0" w:firstLineChars="0"/>
        <w:jc w:val="center"/>
        <w:rPr>
          <w:rFonts w:hint="eastAsia"/>
        </w:rPr>
      </w:pPr>
      <w:r>
        <w:drawing>
          <wp:inline distT="0" distB="0" distL="114300" distR="114300">
            <wp:extent cx="6416040" cy="3058795"/>
            <wp:effectExtent l="9525" t="9525" r="13335" b="17780"/>
            <wp:docPr id="5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7"/>
                    <pic:cNvPicPr>
                      <a:picLocks noChangeAspect="1"/>
                    </pic:cNvPicPr>
                  </pic:nvPicPr>
                  <pic:blipFill>
                    <a:blip r:embed="rId53"/>
                    <a:stretch>
                      <a:fillRect/>
                    </a:stretch>
                  </pic:blipFill>
                  <pic:spPr>
                    <a:xfrm>
                      <a:off x="0" y="0"/>
                      <a:ext cx="6416040" cy="3058795"/>
                    </a:xfrm>
                    <a:prstGeom prst="rect">
                      <a:avLst/>
                    </a:prstGeom>
                    <a:noFill/>
                    <a:ln>
                      <a:solidFill>
                        <a:srgbClr val="EAEAEA"/>
                      </a:solidFill>
                    </a:ln>
                  </pic:spPr>
                </pic:pic>
              </a:graphicData>
            </a:graphic>
          </wp:inline>
        </w:drawing>
      </w:r>
    </w:p>
    <w:p w14:paraId="72652ED4">
      <w:pPr>
        <w:spacing w:before="93" w:after="93"/>
        <w:ind w:firstLine="0" w:firstLineChars="0"/>
        <w:jc w:val="center"/>
        <w:rPr>
          <w:rFonts w:hint="eastAsia"/>
        </w:rPr>
      </w:pPr>
      <w:r>
        <w:rPr>
          <w:rFonts w:hint="eastAsia"/>
        </w:rPr>
        <w:t>图26-4-承办</w:t>
      </w:r>
      <w:r>
        <w:rPr>
          <w:rFonts w:hint="eastAsia"/>
          <w:lang w:val="en-US" w:eastAsia="zh-CN"/>
        </w:rPr>
        <w:t>报告</w:t>
      </w:r>
      <w:r>
        <w:rPr>
          <w:rFonts w:hint="eastAsia"/>
        </w:rPr>
        <w:t>画面</w:t>
      </w:r>
    </w:p>
    <w:p w14:paraId="5C1199C7">
      <w:pPr>
        <w:pStyle w:val="2"/>
        <w:ind w:left="0" w:leftChars="0" w:firstLine="0" w:firstLineChars="0"/>
      </w:pPr>
    </w:p>
    <w:p w14:paraId="527E73EE">
      <w:pPr>
        <w:pStyle w:val="4"/>
        <w:numPr>
          <w:ilvl w:val="1"/>
          <w:numId w:val="6"/>
        </w:numPr>
        <w:ind w:left="0"/>
        <w:rPr>
          <w:rFonts w:cs="Times New Roman"/>
        </w:rPr>
      </w:pPr>
      <w:bookmarkStart w:id="61" w:name="_5.5培训记录查询"/>
      <w:bookmarkEnd w:id="61"/>
      <w:bookmarkStart w:id="62" w:name="_5.3删除培训记录"/>
      <w:bookmarkEnd w:id="62"/>
      <w:bookmarkStart w:id="63" w:name="_6.2采购货物信息"/>
      <w:bookmarkEnd w:id="63"/>
      <w:bookmarkStart w:id="64" w:name="_5.4查看培训记录"/>
      <w:bookmarkEnd w:id="64"/>
      <w:bookmarkStart w:id="65" w:name="_Toc22549"/>
      <w:bookmarkStart w:id="66" w:name="_Toc481601793"/>
      <w:r>
        <w:rPr>
          <w:rFonts w:hint="eastAsia" w:cs="Times New Roman"/>
        </w:rPr>
        <w:t>收文关注</w:t>
      </w:r>
      <w:bookmarkEnd w:id="65"/>
      <w:bookmarkEnd w:id="66"/>
    </w:p>
    <w:p w14:paraId="694FBB45">
      <w:pPr>
        <w:spacing w:before="93" w:after="93"/>
        <w:ind w:firstLine="420"/>
      </w:pPr>
      <w:r>
        <w:rPr>
          <w:rFonts w:hint="eastAsia"/>
        </w:rPr>
        <w:t>收文关注是用来显示所有在公文收文中点击关注按钮的收文流程，在此可以直接点击查看关注的公文信息，及批阅信息，并可按照模板类别、模板名称、主题、来文字号、登记日期进行检索，同时支持转存、转发、催办。</w:t>
      </w:r>
    </w:p>
    <w:p w14:paraId="59C6F9F9">
      <w:pPr>
        <w:spacing w:before="93" w:after="93"/>
        <w:ind w:firstLine="420"/>
      </w:pPr>
      <w:r>
        <w:rPr>
          <w:rFonts w:hint="eastAsia"/>
        </w:rPr>
        <w:t>如不在关注，则点击收文关注列表最后的关注按钮取消即可。</w:t>
      </w:r>
    </w:p>
    <w:p w14:paraId="3CDA03BF">
      <w:pPr>
        <w:spacing w:before="93" w:after="93"/>
        <w:ind w:firstLine="0" w:firstLineChars="0"/>
        <w:jc w:val="center"/>
        <w:rPr>
          <w:rFonts w:hint="eastAsia"/>
        </w:rPr>
      </w:pPr>
      <w:r>
        <w:drawing>
          <wp:inline distT="0" distB="0" distL="114300" distR="114300">
            <wp:extent cx="6416040" cy="3055620"/>
            <wp:effectExtent l="9525" t="9525" r="13335" b="20955"/>
            <wp:docPr id="5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8"/>
                    <pic:cNvPicPr>
                      <a:picLocks noChangeAspect="1"/>
                    </pic:cNvPicPr>
                  </pic:nvPicPr>
                  <pic:blipFill>
                    <a:blip r:embed="rId54"/>
                    <a:stretch>
                      <a:fillRect/>
                    </a:stretch>
                  </pic:blipFill>
                  <pic:spPr>
                    <a:xfrm>
                      <a:off x="0" y="0"/>
                      <a:ext cx="6416040" cy="3055620"/>
                    </a:xfrm>
                    <a:prstGeom prst="rect">
                      <a:avLst/>
                    </a:prstGeom>
                    <a:noFill/>
                    <a:ln>
                      <a:solidFill>
                        <a:srgbClr val="EAEAEA"/>
                      </a:solidFill>
                    </a:ln>
                  </pic:spPr>
                </pic:pic>
              </a:graphicData>
            </a:graphic>
          </wp:inline>
        </w:drawing>
      </w:r>
    </w:p>
    <w:p w14:paraId="7FF20A34">
      <w:pPr>
        <w:spacing w:before="93" w:after="93"/>
        <w:ind w:firstLine="0" w:firstLineChars="0"/>
        <w:jc w:val="center"/>
      </w:pPr>
      <w:r>
        <w:rPr>
          <w:rFonts w:hint="eastAsia"/>
        </w:rPr>
        <w:t>图27-1-收文关注画面</w:t>
      </w:r>
    </w:p>
    <w:p w14:paraId="1D33DA97">
      <w:pPr>
        <w:pStyle w:val="4"/>
        <w:numPr>
          <w:ilvl w:val="1"/>
          <w:numId w:val="6"/>
        </w:numPr>
        <w:ind w:left="0"/>
        <w:rPr>
          <w:rFonts w:cs="Times New Roman"/>
        </w:rPr>
      </w:pPr>
      <w:bookmarkStart w:id="67" w:name="_Toc481601792"/>
      <w:bookmarkStart w:id="68" w:name="_Toc702"/>
      <w:r>
        <w:rPr>
          <w:rFonts w:hint="eastAsia" w:cs="Times New Roman"/>
        </w:rPr>
        <w:t>转发查阅</w:t>
      </w:r>
      <w:bookmarkEnd w:id="67"/>
      <w:bookmarkEnd w:id="68"/>
    </w:p>
    <w:p w14:paraId="3DA73A33">
      <w:pPr>
        <w:spacing w:before="93" w:after="93"/>
        <w:ind w:firstLine="420"/>
      </w:pPr>
      <w:r>
        <w:rPr>
          <w:rFonts w:hint="eastAsia"/>
        </w:rPr>
        <w:t>转发查阅是用来查看他人转发给“我”的文件。此画面中可见转收文件的主题、转发留言、收文登记时间、正在进行的流程及转发人姓名，并可按照模板类型、模板名称、登记日期和主题检索查询。点击主题名字可查看文单内容、公文正文及批阅记录。</w:t>
      </w:r>
    </w:p>
    <w:p w14:paraId="1987DA9F">
      <w:pPr>
        <w:spacing w:before="93" w:after="93"/>
        <w:ind w:firstLine="0" w:firstLineChars="0"/>
        <w:jc w:val="center"/>
        <w:rPr>
          <w:rFonts w:hint="eastAsia"/>
        </w:rPr>
      </w:pPr>
      <w:r>
        <w:drawing>
          <wp:inline distT="0" distB="0" distL="114300" distR="114300">
            <wp:extent cx="6416040" cy="3055620"/>
            <wp:effectExtent l="9525" t="9525" r="13335" b="20955"/>
            <wp:docPr id="5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9"/>
                    <pic:cNvPicPr>
                      <a:picLocks noChangeAspect="1"/>
                    </pic:cNvPicPr>
                  </pic:nvPicPr>
                  <pic:blipFill>
                    <a:blip r:embed="rId55"/>
                    <a:stretch>
                      <a:fillRect/>
                    </a:stretch>
                  </pic:blipFill>
                  <pic:spPr>
                    <a:xfrm>
                      <a:off x="0" y="0"/>
                      <a:ext cx="6416040" cy="3055620"/>
                    </a:xfrm>
                    <a:prstGeom prst="rect">
                      <a:avLst/>
                    </a:prstGeom>
                    <a:noFill/>
                    <a:ln>
                      <a:solidFill>
                        <a:srgbClr val="EAEAEA"/>
                      </a:solidFill>
                    </a:ln>
                  </pic:spPr>
                </pic:pic>
              </a:graphicData>
            </a:graphic>
          </wp:inline>
        </w:drawing>
      </w:r>
    </w:p>
    <w:p w14:paraId="2BB00054">
      <w:pPr>
        <w:spacing w:before="93" w:after="93"/>
        <w:ind w:firstLine="0" w:firstLineChars="0"/>
        <w:jc w:val="center"/>
      </w:pPr>
      <w:r>
        <w:rPr>
          <w:rFonts w:hint="eastAsia"/>
        </w:rPr>
        <w:t>图28-1-转发查询画面</w:t>
      </w:r>
    </w:p>
    <w:sectPr>
      <w:footerReference r:id="rId17" w:type="default"/>
      <w:pgSz w:w="11906" w:h="16838"/>
      <w:pgMar w:top="1559" w:right="896" w:bottom="777" w:left="896"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幼圆">
    <w:panose1 w:val="02010509060101010101"/>
    <w:charset w:val="86"/>
    <w:family w:val="modern"/>
    <w:pitch w:val="default"/>
    <w:sig w:usb0="00000001" w:usb1="080E0000" w:usb2="00000000" w:usb3="00000000" w:csb0="00040000" w:csb1="00000000"/>
  </w:font>
  <w:font w:name="MS PGothic">
    <w:panose1 w:val="020B0600070205080204"/>
    <w:charset w:val="80"/>
    <w:family w:val="swiss"/>
    <w:pitch w:val="default"/>
    <w:sig w:usb0="E00002FF" w:usb1="6AC7FDFB" w:usb2="08000012" w:usb3="00000000" w:csb0="4002009F" w:csb1="DFD70000"/>
  </w:font>
  <w:font w:name="Arial Unicode MS">
    <w:panose1 w:val="020B0604020202020204"/>
    <w:charset w:val="86"/>
    <w:family w:val="swiss"/>
    <w:pitch w:val="default"/>
    <w:sig w:usb0="FFFFFFFF" w:usb1="E9FFFFFF" w:usb2="0000003F" w:usb3="00000000" w:csb0="603F01FF" w:csb1="FFFF0000"/>
  </w:font>
  <w:font w:name="MS Reference Sans Serif">
    <w:panose1 w:val="020B0604030504040204"/>
    <w:charset w:val="00"/>
    <w:family w:val="swiss"/>
    <w:pitch w:val="default"/>
    <w:sig w:usb0="00000287" w:usb1="00000000" w:usb2="00000000" w:usb3="00000000" w:csb0="2000019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48F1C">
    <w:pPr>
      <w:pStyle w:val="11"/>
      <w:spacing w:before="72" w:after="72"/>
      <w:ind w:firstLine="360"/>
      <w:rPr>
        <w:rFonts w:ascii="MS Reference Sans Serif" w:hAnsi="MS Reference Sans Serif" w:cs="MS Reference Sans Serif"/>
      </w:rPr>
    </w:pPr>
    <w:r>
      <w:rPr>
        <w:rFonts w:ascii="MS Reference Sans Serif" w:hAnsi="MS Reference Sans Serif" w:cs="MS Reference Sans Serif"/>
      </w:rPr>
      <w:pict>
        <v:shape id="Quad Arrow 6" o:spid="_x0000_s1030" o:spt="202" type="#_x0000_t202" style="position:absolute;left:0pt;margin-left:-38.55pt;margin-top:-1.65pt;height:60.5pt;width:569.25pt;mso-position-horizontal-relative:margin;z-index:251661312;mso-width-relative:page;mso-height-relative:page;" filled="f" o:preferrelative="t" stroked="f" coordsize="21600,21600">
          <v:path/>
          <v:fill on="f" focussize="0,0"/>
          <v:stroke on="f" joinstyle="miter"/>
          <v:imagedata o:title=""/>
          <o:lock v:ext="edit"/>
          <v:textbox style="mso-fit-shape-to-text:t;">
            <w:txbxContent>
              <w:p w14:paraId="255F69DF">
                <w:pPr>
                  <w:spacing w:before="72" w:after="72"/>
                  <w:ind w:firstLine="420"/>
                </w:pP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60F8D0">
    <w:pPr>
      <w:pStyle w:val="11"/>
      <w:spacing w:before="72" w:after="7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AAEC85">
    <w:pPr>
      <w:pStyle w:val="11"/>
      <w:spacing w:before="72" w:after="7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D7E4B">
    <w:pPr>
      <w:pStyle w:val="11"/>
      <w:spacing w:beforeLines="0" w:afterLines="0" w:line="240" w:lineRule="auto"/>
      <w:ind w:firstLine="0" w:firstLineChars="0"/>
      <w:jc w:val="both"/>
      <w:rPr>
        <w:rFonts w:cs="Arial"/>
        <w:position w:val="30"/>
      </w:rPr>
    </w:pPr>
    <w:r>
      <w:pict>
        <v:shape id="_x0000_s1031" o:spid="_x0000_s1031" o:spt="202" type="#_x0000_t202" style="position:absolute;left:0pt;margin-left:229.85pt;margin-top:28.5pt;height:144pt;width:144pt;mso-position-horizontal-relative:margin;mso-wrap-style:none;z-index:251662336;mso-width-relative:page;mso-height-relative:page;" filled="f" stroked="f" coordsize="21600,21600">
          <v:path/>
          <v:fill on="f" focussize="0,0"/>
          <v:stroke on="f" weight="1.25pt" joinstyle="miter"/>
          <v:imagedata o:title=""/>
          <o:lock v:ext="edit"/>
          <v:textbox inset="0mm,0mm,0mm,0mm" style="mso-fit-shape-to-text:t;">
            <w:txbxContent>
              <w:p w14:paraId="68E59F48">
                <w:pPr>
                  <w:pStyle w:val="11"/>
                  <w:spacing w:before="72" w:after="72"/>
                  <w:ind w:firstLine="360"/>
                </w:pPr>
                <w:r>
                  <w:t xml:space="preserve">— </w:t>
                </w:r>
                <w:r>
                  <w:fldChar w:fldCharType="begin"/>
                </w:r>
                <w:r>
                  <w:instrText xml:space="preserve"> PAGE  \* MERGEFORMAT </w:instrText>
                </w:r>
                <w:r>
                  <w:fldChar w:fldCharType="separate"/>
                </w:r>
                <w:r>
                  <w:t>2</w:t>
                </w:r>
                <w:r>
                  <w:fldChar w:fldCharType="end"/>
                </w:r>
                <w:r>
                  <w:t xml:space="preserve"> —</w:t>
                </w:r>
              </w:p>
            </w:txbxContent>
          </v:textbox>
        </v:shape>
      </w:pict>
    </w:r>
    <w:r>
      <w:rPr>
        <w:rFonts w:cs="Arial"/>
        <w:position w:val="30"/>
      </w:rPr>
      <w:pict>
        <v:shape id="Quad Arrow 1" o:spid="_x0000_s1027" o:spt="202" type="#_x0000_t202" style="position:absolute;left:0pt;margin-left:0.45pt;margin-top:5.8pt;height:60.5pt;width:505.5pt;mso-position-horizontal-relative:margin;z-index:251659264;mso-width-relative:page;mso-height-relative:page;" filled="f" stroked="f" coordsize="21600,21600">
          <v:path/>
          <v:fill on="f" focussize="0,0"/>
          <v:stroke on="f" joinstyle="miter"/>
          <v:imagedata o:title=""/>
          <o:lock v:ext="edit"/>
          <v:textbox style="mso-fit-shape-to-text:t;">
            <w:txbxContent>
              <w:p w14:paraId="693409CA">
                <w:pPr>
                  <w:pStyle w:val="11"/>
                  <w:pBdr>
                    <w:top w:val="single" w:color="BEBEBE" w:sz="4" w:space="1"/>
                  </w:pBdr>
                  <w:spacing w:before="72" w:after="72"/>
                  <w:ind w:firstLine="260"/>
                  <w:jc w:val="right"/>
                  <w:rPr>
                    <w:rFonts w:ascii="微软雅黑" w:hAnsi="微软雅黑" w:cs="MS Reference Sans Serif"/>
                    <w:sz w:val="13"/>
                  </w:rPr>
                </w:pPr>
                <w:r>
                  <w:rPr>
                    <w:rFonts w:hint="eastAsia" w:ascii="微软雅黑" w:hAnsi="微软雅黑" w:cs="MS Reference Sans Serif"/>
                    <w:sz w:val="13"/>
                  </w:rPr>
                  <w:t xml:space="preserve">网址(WEB)：http://www.oa8000.com </w:t>
                </w:r>
                <w:r>
                  <w:rPr>
                    <w:rFonts w:hint="eastAsia" w:ascii="微软雅黑" w:hAnsi="微软雅黑" w:cs="MS Reference Sans Serif"/>
                    <w:color w:val="FF0000"/>
                    <w:sz w:val="13"/>
                  </w:rPr>
                  <w:t xml:space="preserve"> |  </w:t>
                </w:r>
                <w:r>
                  <w:rPr>
                    <w:rFonts w:hint="eastAsia" w:ascii="微软雅黑" w:hAnsi="微软雅黑" w:cs="MS Reference Sans Serif"/>
                    <w:sz w:val="13"/>
                  </w:rPr>
                  <w:t xml:space="preserve"> 电话(TEL)：400-609-0086</w:t>
                </w:r>
              </w:p>
              <w:p w14:paraId="64E30C0D">
                <w:pPr>
                  <w:spacing w:before="72" w:after="72"/>
                  <w:ind w:firstLine="420"/>
                </w:pP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EDFE72">
    <w:pPr>
      <w:pStyle w:val="11"/>
      <w:spacing w:before="72" w:after="72"/>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17A7A7">
    <w:pPr>
      <w:pStyle w:val="11"/>
      <w:spacing w:before="72" w:after="72"/>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5B0D7">
    <w:pPr>
      <w:pStyle w:val="11"/>
      <w:spacing w:beforeLines="0" w:afterLines="0" w:line="240" w:lineRule="auto"/>
      <w:ind w:firstLine="0" w:firstLineChars="0"/>
      <w:jc w:val="both"/>
      <w:rPr>
        <w:rFonts w:cs="Arial"/>
        <w:position w:val="30"/>
      </w:rPr>
    </w:pPr>
    <w:r>
      <w:pict>
        <v:shape id="_x0000_s1032" o:spid="_x0000_s1032" o:spt="202" type="#_x0000_t202" style="position:absolute;left:0pt;margin-left:229.85pt;margin-top:27.75pt;height:144pt;width:144pt;mso-position-horizontal-relative:margin;mso-wrap-style:none;z-index:251663360;mso-width-relative:page;mso-height-relative:page;" filled="f" stroked="f" coordsize="21600,21600">
          <v:path/>
          <v:fill on="f" focussize="0,0"/>
          <v:stroke on="f" weight="1.25pt" joinstyle="miter"/>
          <v:imagedata o:title=""/>
          <o:lock v:ext="edit"/>
          <v:textbox inset="0mm,0mm,0mm,0mm" style="mso-fit-shape-to-text:t;">
            <w:txbxContent>
              <w:p w14:paraId="6849E5C6">
                <w:pPr>
                  <w:pStyle w:val="11"/>
                  <w:spacing w:before="72" w:after="72"/>
                  <w:ind w:firstLine="360"/>
                </w:pPr>
                <w:r>
                  <w:t xml:space="preserve">— </w:t>
                </w:r>
                <w:r>
                  <w:fldChar w:fldCharType="begin"/>
                </w:r>
                <w:r>
                  <w:instrText xml:space="preserve"> PAGE  \* MERGEFORMAT </w:instrText>
                </w:r>
                <w:r>
                  <w:fldChar w:fldCharType="separate"/>
                </w:r>
                <w:r>
                  <w:t>6</w:t>
                </w:r>
                <w:r>
                  <w:fldChar w:fldCharType="end"/>
                </w:r>
                <w:r>
                  <w:t xml:space="preserve"> —</w:t>
                </w:r>
              </w:p>
            </w:txbxContent>
          </v:textbox>
        </v:shape>
      </w:pict>
    </w:r>
    <w:r>
      <w:rPr>
        <w:rFonts w:cs="Arial"/>
        <w:position w:val="30"/>
      </w:rPr>
      <w:pict>
        <v:shape id="Quad Arrow 3" o:spid="_x0000_s1025" o:spt="202" type="#_x0000_t202" style="position:absolute;left:0pt;margin-left:0.45pt;margin-top:2.8pt;height:60.5pt;width:505.5pt;mso-position-horizontal-relative:margin;z-index:251660288;mso-width-relative:page;mso-height-relative:page;" filled="f" stroked="f" coordsize="21600,21600">
          <v:path/>
          <v:fill on="f" focussize="0,0"/>
          <v:stroke on="f" joinstyle="miter"/>
          <v:imagedata o:title=""/>
          <o:lock v:ext="edit"/>
          <v:textbox style="mso-fit-shape-to-text:t;">
            <w:txbxContent>
              <w:p w14:paraId="50243DC1">
                <w:pPr>
                  <w:pStyle w:val="11"/>
                  <w:pBdr>
                    <w:top w:val="single" w:color="BEBEBE" w:sz="4" w:space="1"/>
                  </w:pBdr>
                  <w:spacing w:before="72" w:after="72"/>
                  <w:ind w:firstLine="260"/>
                  <w:jc w:val="right"/>
                  <w:rPr>
                    <w:rFonts w:ascii="微软雅黑" w:hAnsi="微软雅黑" w:cs="MS Reference Sans Serif"/>
                    <w:sz w:val="13"/>
                  </w:rPr>
                </w:pPr>
                <w:r>
                  <w:rPr>
                    <w:rFonts w:hint="eastAsia" w:ascii="微软雅黑" w:hAnsi="微软雅黑" w:cs="MS Reference Sans Serif"/>
                    <w:sz w:val="13"/>
                  </w:rPr>
                  <w:t xml:space="preserve">网址(WEB)：http://www.oa8000.com </w:t>
                </w:r>
                <w:r>
                  <w:rPr>
                    <w:rFonts w:hint="eastAsia" w:ascii="微软雅黑" w:hAnsi="微软雅黑" w:cs="MS Reference Sans Serif"/>
                    <w:color w:val="FF0000"/>
                    <w:sz w:val="13"/>
                  </w:rPr>
                  <w:t xml:space="preserve"> |  </w:t>
                </w:r>
                <w:r>
                  <w:rPr>
                    <w:rFonts w:hint="eastAsia" w:ascii="微软雅黑" w:hAnsi="微软雅黑" w:cs="MS Reference Sans Serif"/>
                    <w:sz w:val="13"/>
                  </w:rPr>
                  <w:t xml:space="preserve"> 电话(TEL)：400-609-0086</w:t>
                </w:r>
              </w:p>
              <w:p w14:paraId="2AD20949">
                <w:pPr>
                  <w:spacing w:before="72" w:after="72"/>
                  <w:ind w:firstLine="420"/>
                </w:pP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ind w:firstLine="420"/>
      </w:pPr>
      <w:r>
        <w:separator/>
      </w:r>
    </w:p>
  </w:footnote>
  <w:footnote w:type="continuationSeparator" w:id="1">
    <w:p>
      <w:pPr>
        <w:spacing w:before="0" w:after="0" w:line="288"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03C40D">
    <w:pPr>
      <w:pStyle w:val="35"/>
      <w:spacing w:before="72" w:after="72"/>
    </w:pPr>
    <w:r>
      <w:drawing>
        <wp:inline distT="0" distB="0" distL="114300" distR="114300">
          <wp:extent cx="6422390" cy="339090"/>
          <wp:effectExtent l="0" t="0" r="16510" b="3810"/>
          <wp:docPr id="3" name="图片 7"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descr="1.png"/>
                  <pic:cNvPicPr>
                    <a:picLocks noChangeAspect="1"/>
                  </pic:cNvPicPr>
                </pic:nvPicPr>
                <pic:blipFill>
                  <a:blip r:embed="rId1"/>
                  <a:stretch>
                    <a:fillRect/>
                  </a:stretch>
                </pic:blipFill>
                <pic:spPr>
                  <a:xfrm>
                    <a:off x="0" y="0"/>
                    <a:ext cx="6422390" cy="33909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8FFCEF">
    <w:pPr>
      <w:pStyle w:val="12"/>
      <w:spacing w:before="72" w:after="7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74ABE3">
    <w:pPr>
      <w:pStyle w:val="12"/>
      <w:spacing w:before="72" w:after="72"/>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6EA94">
    <w:pPr>
      <w:pStyle w:val="35"/>
      <w:spacing w:before="72" w:after="72"/>
    </w:pPr>
    <w:r>
      <w:drawing>
        <wp:inline distT="0" distB="0" distL="114300" distR="114300">
          <wp:extent cx="6422390" cy="339090"/>
          <wp:effectExtent l="0" t="0" r="16510" b="3810"/>
          <wp:docPr id="4" name="图片 8"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descr="1.png"/>
                  <pic:cNvPicPr>
                    <a:picLocks noChangeAspect="1"/>
                  </pic:cNvPicPr>
                </pic:nvPicPr>
                <pic:blipFill>
                  <a:blip r:embed="rId1"/>
                  <a:stretch>
                    <a:fillRect/>
                  </a:stretch>
                </pic:blipFill>
                <pic:spPr>
                  <a:xfrm>
                    <a:off x="0" y="0"/>
                    <a:ext cx="6422390" cy="33909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B9CD3B">
    <w:pPr>
      <w:pStyle w:val="12"/>
      <w:spacing w:before="72" w:after="72"/>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E0922F">
    <w:pPr>
      <w:pStyle w:val="12"/>
      <w:spacing w:before="72" w:after="7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C9B3D78"/>
    <w:multiLevelType w:val="multilevel"/>
    <w:tmpl w:val="0C9B3D78"/>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1D7966D8"/>
    <w:multiLevelType w:val="multilevel"/>
    <w:tmpl w:val="1D7966D8"/>
    <w:lvl w:ilvl="0" w:tentative="0">
      <w:start w:val="1"/>
      <w:numFmt w:val="bullet"/>
      <w:pStyle w:val="24"/>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23896803"/>
    <w:multiLevelType w:val="multilevel"/>
    <w:tmpl w:val="23896803"/>
    <w:lvl w:ilvl="0" w:tentative="0">
      <w:start w:val="1"/>
      <w:numFmt w:val="decimal"/>
      <w:suff w:val="space"/>
      <w:lvlText w:val="PART%1 "/>
      <w:lvlJc w:val="left"/>
      <w:pPr>
        <w:ind w:left="425" w:hanging="425"/>
      </w:pPr>
      <w:rPr>
        <w:rFonts w:hint="eastAsia"/>
      </w:rPr>
    </w:lvl>
    <w:lvl w:ilvl="1" w:tentative="0">
      <w:start w:val="1"/>
      <w:numFmt w:val="decimal"/>
      <w:suff w:val="space"/>
      <w:lvlText w:val="%1.%2"/>
      <w:lvlJc w:val="left"/>
      <w:pPr>
        <w:ind w:left="284"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
    <w:nsid w:val="40111F08"/>
    <w:multiLevelType w:val="multilevel"/>
    <w:tmpl w:val="40111F08"/>
    <w:lvl w:ilvl="0" w:tentative="0">
      <w:start w:val="1"/>
      <w:numFmt w:val="decimal"/>
      <w:pStyle w:val="27"/>
      <w:suff w:val="nothing"/>
      <w:lvlText w:val="%1："/>
      <w:lvlJc w:val="left"/>
      <w:pPr>
        <w:ind w:left="0" w:firstLine="0"/>
      </w:pPr>
      <w:rPr>
        <w:rFonts w:hint="eastAsia"/>
      </w:rPr>
    </w:lvl>
    <w:lvl w:ilvl="1" w:tentative="0">
      <w:start w:val="1"/>
      <w:numFmt w:val="decimal"/>
      <w:pStyle w:val="28"/>
      <w:isLgl/>
      <w:suff w:val="space"/>
      <w:lvlText w:val="%1.%2"/>
      <w:lvlJc w:val="left"/>
      <w:pPr>
        <w:ind w:left="0" w:firstLine="0"/>
      </w:pPr>
      <w:rPr>
        <w:rFonts w:hint="eastAsia"/>
      </w:rPr>
    </w:lvl>
    <w:lvl w:ilvl="2" w:tentative="0">
      <w:start w:val="1"/>
      <w:numFmt w:val="decimal"/>
      <w:pStyle w:val="29"/>
      <w:isLgl/>
      <w:suff w:val="space"/>
      <w:lvlText w:val="%1.%2.%3"/>
      <w:lvlJc w:val="left"/>
      <w:pPr>
        <w:ind w:left="0" w:firstLine="0"/>
      </w:pPr>
      <w:rPr>
        <w:rFonts w:hint="eastAsia"/>
      </w:rPr>
    </w:lvl>
    <w:lvl w:ilvl="3" w:tentative="0">
      <w:start w:val="1"/>
      <w:numFmt w:val="decimal"/>
      <w:pStyle w:val="30"/>
      <w:isLgl/>
      <w:suff w:val="space"/>
      <w:lvlText w:val="%1.%2.%3.%4"/>
      <w:lvlJc w:val="left"/>
      <w:pPr>
        <w:ind w:left="0" w:firstLine="0"/>
      </w:pPr>
      <w:rPr>
        <w:rFonts w:hint="eastAsia"/>
      </w:rPr>
    </w:lvl>
    <w:lvl w:ilvl="4" w:tentative="0">
      <w:start w:val="1"/>
      <w:numFmt w:val="none"/>
      <w:suff w:val="nothing"/>
      <w:lvlText w:val=""/>
      <w:lvlJc w:val="left"/>
      <w:pPr>
        <w:ind w:left="0" w:firstLine="0"/>
      </w:pPr>
      <w:rPr>
        <w:rFonts w:hint="eastAsia"/>
      </w:rPr>
    </w:lvl>
    <w:lvl w:ilvl="5" w:tentative="0">
      <w:start w:val="1"/>
      <w:numFmt w:val="none"/>
      <w:suff w:val="nothing"/>
      <w:lvlText w:val=""/>
      <w:lvlJc w:val="left"/>
      <w:pPr>
        <w:ind w:left="0" w:firstLine="0"/>
      </w:pPr>
      <w:rPr>
        <w:rFonts w:hint="eastAsia"/>
      </w:rPr>
    </w:lvl>
    <w:lvl w:ilvl="6" w:tentative="0">
      <w:start w:val="1"/>
      <w:numFmt w:val="none"/>
      <w:suff w:val="nothing"/>
      <w:lvlText w:val=""/>
      <w:lvlJc w:val="left"/>
      <w:pPr>
        <w:ind w:left="0" w:firstLine="0"/>
      </w:pPr>
      <w:rPr>
        <w:rFonts w:hint="eastAsia"/>
      </w:rPr>
    </w:lvl>
    <w:lvl w:ilvl="7" w:tentative="0">
      <w:start w:val="1"/>
      <w:numFmt w:val="none"/>
      <w:suff w:val="nothing"/>
      <w:lvlText w:val=""/>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4">
    <w:nsid w:val="731245A7"/>
    <w:multiLevelType w:val="multilevel"/>
    <w:tmpl w:val="731245A7"/>
    <w:lvl w:ilvl="0" w:tentative="0">
      <w:start w:val="1"/>
      <w:numFmt w:val="decimal"/>
      <w:pStyle w:val="23"/>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791E3947"/>
    <w:multiLevelType w:val="multilevel"/>
    <w:tmpl w:val="791E3947"/>
    <w:lvl w:ilvl="0" w:tentative="0">
      <w:start w:val="1"/>
      <w:numFmt w:val="decimal"/>
      <w:pStyle w:val="33"/>
      <w:lvlText w:val="PART%1 "/>
      <w:lvlJc w:val="left"/>
      <w:pPr>
        <w:ind w:left="1697" w:hanging="420"/>
      </w:pPr>
      <w:rPr>
        <w:rFonts w:hint="eastAsia"/>
      </w:rPr>
    </w:lvl>
    <w:lvl w:ilvl="1" w:tentative="0">
      <w:start w:val="1"/>
      <w:numFmt w:val="decimal"/>
      <w:suff w:val="space"/>
      <w:lvlText w:val="%1.%2"/>
      <w:lvlJc w:val="left"/>
      <w:pPr>
        <w:ind w:left="840" w:hanging="840"/>
      </w:pPr>
      <w:rPr>
        <w:rFonts w:hint="eastAsia"/>
      </w:rPr>
    </w:lvl>
    <w:lvl w:ilvl="2" w:tentative="0">
      <w:start w:val="1"/>
      <w:numFmt w:val="decimal"/>
      <w:suff w:val="space"/>
      <w:lvlText w:val="%1.%2.%3"/>
      <w:lvlJc w:val="left"/>
      <w:pPr>
        <w:ind w:left="1260" w:hanging="126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7B4852E7"/>
    <w:multiLevelType w:val="multilevel"/>
    <w:tmpl w:val="7B4852E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4"/>
  </w:num>
  <w:num w:numId="2">
    <w:abstractNumId w:val="1"/>
  </w:num>
  <w:num w:numId="3">
    <w:abstractNumId w:val="3"/>
  </w:num>
  <w:num w:numId="4">
    <w:abstractNumId w:val="5"/>
  </w:num>
  <w:num w:numId="5">
    <w:abstractNumId w:val="2"/>
    <w:lvlOverride w:ilvl="0">
      <w:startOverride w:val="1"/>
    </w:lvlOverride>
  </w:num>
  <w:num w:numId="6">
    <w:abstractNumId w:val="2"/>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rsids>
    <w:rsidRoot w:val="0078571E"/>
    <w:rsid w:val="000032E4"/>
    <w:rsid w:val="0000520B"/>
    <w:rsid w:val="00011E3C"/>
    <w:rsid w:val="00013B32"/>
    <w:rsid w:val="000151F9"/>
    <w:rsid w:val="00016305"/>
    <w:rsid w:val="00016755"/>
    <w:rsid w:val="00017F3D"/>
    <w:rsid w:val="000210CA"/>
    <w:rsid w:val="00023B24"/>
    <w:rsid w:val="00024B46"/>
    <w:rsid w:val="00024CFB"/>
    <w:rsid w:val="000255BA"/>
    <w:rsid w:val="00027D93"/>
    <w:rsid w:val="0003340F"/>
    <w:rsid w:val="00036583"/>
    <w:rsid w:val="0004023D"/>
    <w:rsid w:val="0004067A"/>
    <w:rsid w:val="0004069F"/>
    <w:rsid w:val="000406DF"/>
    <w:rsid w:val="0004129B"/>
    <w:rsid w:val="00044A42"/>
    <w:rsid w:val="00045723"/>
    <w:rsid w:val="0004605B"/>
    <w:rsid w:val="0005061A"/>
    <w:rsid w:val="00051799"/>
    <w:rsid w:val="000523BB"/>
    <w:rsid w:val="000557FB"/>
    <w:rsid w:val="00055A35"/>
    <w:rsid w:val="000560EC"/>
    <w:rsid w:val="00056318"/>
    <w:rsid w:val="00057123"/>
    <w:rsid w:val="00057D9D"/>
    <w:rsid w:val="00057E6E"/>
    <w:rsid w:val="000615C9"/>
    <w:rsid w:val="0006191A"/>
    <w:rsid w:val="0006345E"/>
    <w:rsid w:val="00065961"/>
    <w:rsid w:val="000668D8"/>
    <w:rsid w:val="00066C3D"/>
    <w:rsid w:val="000719A2"/>
    <w:rsid w:val="00071D27"/>
    <w:rsid w:val="00075553"/>
    <w:rsid w:val="00076E6C"/>
    <w:rsid w:val="00080108"/>
    <w:rsid w:val="00080821"/>
    <w:rsid w:val="000818F1"/>
    <w:rsid w:val="000819F8"/>
    <w:rsid w:val="00083031"/>
    <w:rsid w:val="000838BD"/>
    <w:rsid w:val="00084C08"/>
    <w:rsid w:val="00087852"/>
    <w:rsid w:val="000901D3"/>
    <w:rsid w:val="00091E7D"/>
    <w:rsid w:val="00095F5C"/>
    <w:rsid w:val="000966EF"/>
    <w:rsid w:val="000A1E74"/>
    <w:rsid w:val="000A201A"/>
    <w:rsid w:val="000A28A9"/>
    <w:rsid w:val="000A4FD5"/>
    <w:rsid w:val="000A5B13"/>
    <w:rsid w:val="000A6430"/>
    <w:rsid w:val="000A6D77"/>
    <w:rsid w:val="000B1216"/>
    <w:rsid w:val="000B433F"/>
    <w:rsid w:val="000B6CC3"/>
    <w:rsid w:val="000C23D6"/>
    <w:rsid w:val="000C2D35"/>
    <w:rsid w:val="000C4049"/>
    <w:rsid w:val="000C4422"/>
    <w:rsid w:val="000C7BF9"/>
    <w:rsid w:val="000D078F"/>
    <w:rsid w:val="000D10E6"/>
    <w:rsid w:val="000D1C4B"/>
    <w:rsid w:val="000D30F5"/>
    <w:rsid w:val="000D329E"/>
    <w:rsid w:val="000D3D25"/>
    <w:rsid w:val="000D707D"/>
    <w:rsid w:val="000D7CD4"/>
    <w:rsid w:val="000E0380"/>
    <w:rsid w:val="000E10CC"/>
    <w:rsid w:val="000E145E"/>
    <w:rsid w:val="000E1FCC"/>
    <w:rsid w:val="000E21E5"/>
    <w:rsid w:val="000E2B20"/>
    <w:rsid w:val="000E51D6"/>
    <w:rsid w:val="000E5D1D"/>
    <w:rsid w:val="000F342E"/>
    <w:rsid w:val="00100481"/>
    <w:rsid w:val="00101411"/>
    <w:rsid w:val="00102791"/>
    <w:rsid w:val="00103D98"/>
    <w:rsid w:val="00104ABC"/>
    <w:rsid w:val="00111002"/>
    <w:rsid w:val="00111CDF"/>
    <w:rsid w:val="00112149"/>
    <w:rsid w:val="0011216F"/>
    <w:rsid w:val="001153ED"/>
    <w:rsid w:val="001169F1"/>
    <w:rsid w:val="00120F3F"/>
    <w:rsid w:val="001229DD"/>
    <w:rsid w:val="00130D0C"/>
    <w:rsid w:val="0013104B"/>
    <w:rsid w:val="001339FC"/>
    <w:rsid w:val="00133B5B"/>
    <w:rsid w:val="001349D7"/>
    <w:rsid w:val="00136044"/>
    <w:rsid w:val="00140851"/>
    <w:rsid w:val="00141C53"/>
    <w:rsid w:val="00143D73"/>
    <w:rsid w:val="00144063"/>
    <w:rsid w:val="00146FD0"/>
    <w:rsid w:val="001472C1"/>
    <w:rsid w:val="00147C88"/>
    <w:rsid w:val="00150E16"/>
    <w:rsid w:val="00152BF2"/>
    <w:rsid w:val="00161EBC"/>
    <w:rsid w:val="00163702"/>
    <w:rsid w:val="00163FA5"/>
    <w:rsid w:val="0016603B"/>
    <w:rsid w:val="0016670F"/>
    <w:rsid w:val="00171468"/>
    <w:rsid w:val="001729B5"/>
    <w:rsid w:val="001732AC"/>
    <w:rsid w:val="001740BE"/>
    <w:rsid w:val="001752F8"/>
    <w:rsid w:val="001770C8"/>
    <w:rsid w:val="001774F3"/>
    <w:rsid w:val="0017760B"/>
    <w:rsid w:val="00177DF7"/>
    <w:rsid w:val="00184394"/>
    <w:rsid w:val="00184A1E"/>
    <w:rsid w:val="00187CFC"/>
    <w:rsid w:val="00187D86"/>
    <w:rsid w:val="001902B6"/>
    <w:rsid w:val="001925CC"/>
    <w:rsid w:val="00192E00"/>
    <w:rsid w:val="001930B4"/>
    <w:rsid w:val="00194C22"/>
    <w:rsid w:val="00194D90"/>
    <w:rsid w:val="001962AD"/>
    <w:rsid w:val="00196A05"/>
    <w:rsid w:val="00197DFF"/>
    <w:rsid w:val="001A071C"/>
    <w:rsid w:val="001A0981"/>
    <w:rsid w:val="001A687C"/>
    <w:rsid w:val="001B0757"/>
    <w:rsid w:val="001B1279"/>
    <w:rsid w:val="001C011D"/>
    <w:rsid w:val="001C0B0B"/>
    <w:rsid w:val="001C5E16"/>
    <w:rsid w:val="001D5E48"/>
    <w:rsid w:val="001D60AF"/>
    <w:rsid w:val="001D694C"/>
    <w:rsid w:val="001D7AB4"/>
    <w:rsid w:val="001E260A"/>
    <w:rsid w:val="001E33CC"/>
    <w:rsid w:val="001E3AC2"/>
    <w:rsid w:val="001E4242"/>
    <w:rsid w:val="001E49C5"/>
    <w:rsid w:val="001E5F94"/>
    <w:rsid w:val="001E6D94"/>
    <w:rsid w:val="001E7166"/>
    <w:rsid w:val="001E7687"/>
    <w:rsid w:val="001F3351"/>
    <w:rsid w:val="001F5B3D"/>
    <w:rsid w:val="00201916"/>
    <w:rsid w:val="00203FB2"/>
    <w:rsid w:val="0020484F"/>
    <w:rsid w:val="00205F57"/>
    <w:rsid w:val="00206D3B"/>
    <w:rsid w:val="00212E3F"/>
    <w:rsid w:val="00214C95"/>
    <w:rsid w:val="002164E7"/>
    <w:rsid w:val="00220660"/>
    <w:rsid w:val="00222C66"/>
    <w:rsid w:val="002232D7"/>
    <w:rsid w:val="0022522B"/>
    <w:rsid w:val="0022538E"/>
    <w:rsid w:val="00225E25"/>
    <w:rsid w:val="0022747E"/>
    <w:rsid w:val="002276D0"/>
    <w:rsid w:val="002277CC"/>
    <w:rsid w:val="00230352"/>
    <w:rsid w:val="00231256"/>
    <w:rsid w:val="00231ED1"/>
    <w:rsid w:val="00234FFD"/>
    <w:rsid w:val="00235041"/>
    <w:rsid w:val="00235CC5"/>
    <w:rsid w:val="0023719A"/>
    <w:rsid w:val="002371B0"/>
    <w:rsid w:val="00237C7C"/>
    <w:rsid w:val="0024060A"/>
    <w:rsid w:val="00241621"/>
    <w:rsid w:val="002445F9"/>
    <w:rsid w:val="0024592E"/>
    <w:rsid w:val="0024627E"/>
    <w:rsid w:val="00246B28"/>
    <w:rsid w:val="002505A6"/>
    <w:rsid w:val="00251E1D"/>
    <w:rsid w:val="00252A92"/>
    <w:rsid w:val="00253236"/>
    <w:rsid w:val="00254B3C"/>
    <w:rsid w:val="00261E30"/>
    <w:rsid w:val="002636C5"/>
    <w:rsid w:val="0026532E"/>
    <w:rsid w:val="0027000D"/>
    <w:rsid w:val="00270334"/>
    <w:rsid w:val="0027122D"/>
    <w:rsid w:val="00272E0A"/>
    <w:rsid w:val="00273D84"/>
    <w:rsid w:val="002746CF"/>
    <w:rsid w:val="00275E33"/>
    <w:rsid w:val="002764AF"/>
    <w:rsid w:val="002814AD"/>
    <w:rsid w:val="002836A1"/>
    <w:rsid w:val="00284A37"/>
    <w:rsid w:val="00291609"/>
    <w:rsid w:val="0029168B"/>
    <w:rsid w:val="002919D9"/>
    <w:rsid w:val="002927B5"/>
    <w:rsid w:val="0029320B"/>
    <w:rsid w:val="00293830"/>
    <w:rsid w:val="00296FC9"/>
    <w:rsid w:val="00297F73"/>
    <w:rsid w:val="002A07DB"/>
    <w:rsid w:val="002A1A57"/>
    <w:rsid w:val="002A282E"/>
    <w:rsid w:val="002A5620"/>
    <w:rsid w:val="002A57EF"/>
    <w:rsid w:val="002A5E44"/>
    <w:rsid w:val="002A606F"/>
    <w:rsid w:val="002A71FF"/>
    <w:rsid w:val="002B0CE1"/>
    <w:rsid w:val="002B1150"/>
    <w:rsid w:val="002B1917"/>
    <w:rsid w:val="002B24BA"/>
    <w:rsid w:val="002B5C2A"/>
    <w:rsid w:val="002B754E"/>
    <w:rsid w:val="002B7816"/>
    <w:rsid w:val="002C088D"/>
    <w:rsid w:val="002C0C33"/>
    <w:rsid w:val="002C236F"/>
    <w:rsid w:val="002C294B"/>
    <w:rsid w:val="002C2B12"/>
    <w:rsid w:val="002C3D36"/>
    <w:rsid w:val="002C4E32"/>
    <w:rsid w:val="002C5B74"/>
    <w:rsid w:val="002C6ECD"/>
    <w:rsid w:val="002C709A"/>
    <w:rsid w:val="002C71EE"/>
    <w:rsid w:val="002C75C9"/>
    <w:rsid w:val="002D04A2"/>
    <w:rsid w:val="002D10F3"/>
    <w:rsid w:val="002D4B0D"/>
    <w:rsid w:val="002D4E61"/>
    <w:rsid w:val="002D75DA"/>
    <w:rsid w:val="002E0E82"/>
    <w:rsid w:val="002E265C"/>
    <w:rsid w:val="002E27FE"/>
    <w:rsid w:val="002E2C0F"/>
    <w:rsid w:val="002E6794"/>
    <w:rsid w:val="002F07F6"/>
    <w:rsid w:val="002F4AB1"/>
    <w:rsid w:val="002F615E"/>
    <w:rsid w:val="002F742C"/>
    <w:rsid w:val="003020DB"/>
    <w:rsid w:val="00302E87"/>
    <w:rsid w:val="0030369C"/>
    <w:rsid w:val="00304D99"/>
    <w:rsid w:val="00310B3D"/>
    <w:rsid w:val="0031339F"/>
    <w:rsid w:val="00314967"/>
    <w:rsid w:val="003156FA"/>
    <w:rsid w:val="00315BED"/>
    <w:rsid w:val="00316527"/>
    <w:rsid w:val="00317153"/>
    <w:rsid w:val="00320E01"/>
    <w:rsid w:val="00321178"/>
    <w:rsid w:val="00321375"/>
    <w:rsid w:val="003237CB"/>
    <w:rsid w:val="00327A99"/>
    <w:rsid w:val="00331C22"/>
    <w:rsid w:val="00331F83"/>
    <w:rsid w:val="003348B3"/>
    <w:rsid w:val="003352FF"/>
    <w:rsid w:val="00335A9C"/>
    <w:rsid w:val="00335B04"/>
    <w:rsid w:val="003362C4"/>
    <w:rsid w:val="0033669A"/>
    <w:rsid w:val="00336AA3"/>
    <w:rsid w:val="003421F2"/>
    <w:rsid w:val="00343929"/>
    <w:rsid w:val="00344B5C"/>
    <w:rsid w:val="0034653B"/>
    <w:rsid w:val="00351AEF"/>
    <w:rsid w:val="003543B1"/>
    <w:rsid w:val="00356E29"/>
    <w:rsid w:val="00360841"/>
    <w:rsid w:val="00361FD9"/>
    <w:rsid w:val="00362AC2"/>
    <w:rsid w:val="00362B48"/>
    <w:rsid w:val="00364A13"/>
    <w:rsid w:val="00367942"/>
    <w:rsid w:val="00367CC9"/>
    <w:rsid w:val="00371349"/>
    <w:rsid w:val="00371D70"/>
    <w:rsid w:val="00372248"/>
    <w:rsid w:val="00372258"/>
    <w:rsid w:val="003740CF"/>
    <w:rsid w:val="00374404"/>
    <w:rsid w:val="003760BD"/>
    <w:rsid w:val="003764C2"/>
    <w:rsid w:val="00376B3B"/>
    <w:rsid w:val="00377BB8"/>
    <w:rsid w:val="0038207B"/>
    <w:rsid w:val="00382548"/>
    <w:rsid w:val="00383D2A"/>
    <w:rsid w:val="00384976"/>
    <w:rsid w:val="00386066"/>
    <w:rsid w:val="00390964"/>
    <w:rsid w:val="00391B1A"/>
    <w:rsid w:val="00391F92"/>
    <w:rsid w:val="003921F9"/>
    <w:rsid w:val="00392BD4"/>
    <w:rsid w:val="00393F57"/>
    <w:rsid w:val="003951B5"/>
    <w:rsid w:val="003956AF"/>
    <w:rsid w:val="00395D92"/>
    <w:rsid w:val="003964FA"/>
    <w:rsid w:val="00397995"/>
    <w:rsid w:val="003A09BF"/>
    <w:rsid w:val="003A1452"/>
    <w:rsid w:val="003A156F"/>
    <w:rsid w:val="003A22F8"/>
    <w:rsid w:val="003A2A82"/>
    <w:rsid w:val="003A30CF"/>
    <w:rsid w:val="003A5324"/>
    <w:rsid w:val="003A6E8E"/>
    <w:rsid w:val="003A717E"/>
    <w:rsid w:val="003A732C"/>
    <w:rsid w:val="003A78E0"/>
    <w:rsid w:val="003B0717"/>
    <w:rsid w:val="003B0DCA"/>
    <w:rsid w:val="003B0E3A"/>
    <w:rsid w:val="003B3AA3"/>
    <w:rsid w:val="003B5308"/>
    <w:rsid w:val="003B704D"/>
    <w:rsid w:val="003B7662"/>
    <w:rsid w:val="003B7DEA"/>
    <w:rsid w:val="003C2BF7"/>
    <w:rsid w:val="003C4018"/>
    <w:rsid w:val="003C5C58"/>
    <w:rsid w:val="003C6989"/>
    <w:rsid w:val="003D0068"/>
    <w:rsid w:val="003D18E8"/>
    <w:rsid w:val="003D1E9F"/>
    <w:rsid w:val="003D2C7D"/>
    <w:rsid w:val="003D3762"/>
    <w:rsid w:val="003D5C34"/>
    <w:rsid w:val="003D6DDA"/>
    <w:rsid w:val="003D78F6"/>
    <w:rsid w:val="003E12D8"/>
    <w:rsid w:val="003E1BB0"/>
    <w:rsid w:val="003E3897"/>
    <w:rsid w:val="003E3EA0"/>
    <w:rsid w:val="003E5300"/>
    <w:rsid w:val="003E5388"/>
    <w:rsid w:val="003F09CC"/>
    <w:rsid w:val="003F1CBC"/>
    <w:rsid w:val="003F2705"/>
    <w:rsid w:val="003F5E28"/>
    <w:rsid w:val="003F6AE4"/>
    <w:rsid w:val="003F6DB5"/>
    <w:rsid w:val="003F6F25"/>
    <w:rsid w:val="004020D0"/>
    <w:rsid w:val="004022DE"/>
    <w:rsid w:val="0040355A"/>
    <w:rsid w:val="00406206"/>
    <w:rsid w:val="004200F0"/>
    <w:rsid w:val="00420422"/>
    <w:rsid w:val="0042123C"/>
    <w:rsid w:val="004212F0"/>
    <w:rsid w:val="00421478"/>
    <w:rsid w:val="00421FC6"/>
    <w:rsid w:val="004225F0"/>
    <w:rsid w:val="00423399"/>
    <w:rsid w:val="00424F47"/>
    <w:rsid w:val="00425B4A"/>
    <w:rsid w:val="00425D25"/>
    <w:rsid w:val="004269A2"/>
    <w:rsid w:val="004270D2"/>
    <w:rsid w:val="00432F74"/>
    <w:rsid w:val="00437F2B"/>
    <w:rsid w:val="0044114A"/>
    <w:rsid w:val="00441E64"/>
    <w:rsid w:val="004421D3"/>
    <w:rsid w:val="004445C0"/>
    <w:rsid w:val="0044567C"/>
    <w:rsid w:val="00446B30"/>
    <w:rsid w:val="00447625"/>
    <w:rsid w:val="00450D78"/>
    <w:rsid w:val="00455CFC"/>
    <w:rsid w:val="004564F0"/>
    <w:rsid w:val="004567D3"/>
    <w:rsid w:val="00456959"/>
    <w:rsid w:val="004606A5"/>
    <w:rsid w:val="004620E5"/>
    <w:rsid w:val="00467D27"/>
    <w:rsid w:val="0047032F"/>
    <w:rsid w:val="00472B77"/>
    <w:rsid w:val="004743D8"/>
    <w:rsid w:val="00475038"/>
    <w:rsid w:val="00475826"/>
    <w:rsid w:val="004773FC"/>
    <w:rsid w:val="0048111D"/>
    <w:rsid w:val="00481FE7"/>
    <w:rsid w:val="00483466"/>
    <w:rsid w:val="00483E94"/>
    <w:rsid w:val="0048637C"/>
    <w:rsid w:val="0048748C"/>
    <w:rsid w:val="00492D3C"/>
    <w:rsid w:val="004938B7"/>
    <w:rsid w:val="00496D12"/>
    <w:rsid w:val="004A0006"/>
    <w:rsid w:val="004A5577"/>
    <w:rsid w:val="004A5EC4"/>
    <w:rsid w:val="004A6184"/>
    <w:rsid w:val="004A629B"/>
    <w:rsid w:val="004A7404"/>
    <w:rsid w:val="004A7F34"/>
    <w:rsid w:val="004B0AA0"/>
    <w:rsid w:val="004B103A"/>
    <w:rsid w:val="004B6039"/>
    <w:rsid w:val="004C01EB"/>
    <w:rsid w:val="004C090C"/>
    <w:rsid w:val="004C3DF8"/>
    <w:rsid w:val="004C491C"/>
    <w:rsid w:val="004D18BA"/>
    <w:rsid w:val="004D2154"/>
    <w:rsid w:val="004D5BE7"/>
    <w:rsid w:val="004D5D73"/>
    <w:rsid w:val="004E0BFA"/>
    <w:rsid w:val="004E20CA"/>
    <w:rsid w:val="004E328F"/>
    <w:rsid w:val="004E4258"/>
    <w:rsid w:val="004E4259"/>
    <w:rsid w:val="004E4B77"/>
    <w:rsid w:val="004E4CD9"/>
    <w:rsid w:val="004E55E1"/>
    <w:rsid w:val="004E5BE7"/>
    <w:rsid w:val="004E7E9A"/>
    <w:rsid w:val="004F09BB"/>
    <w:rsid w:val="004F0C16"/>
    <w:rsid w:val="004F1F2C"/>
    <w:rsid w:val="004F2322"/>
    <w:rsid w:val="004F41D1"/>
    <w:rsid w:val="004F5875"/>
    <w:rsid w:val="005020E2"/>
    <w:rsid w:val="00502FFA"/>
    <w:rsid w:val="00503CA9"/>
    <w:rsid w:val="005050F2"/>
    <w:rsid w:val="00512885"/>
    <w:rsid w:val="00512AAE"/>
    <w:rsid w:val="00515FCC"/>
    <w:rsid w:val="00521989"/>
    <w:rsid w:val="0052226E"/>
    <w:rsid w:val="00523A84"/>
    <w:rsid w:val="005244E9"/>
    <w:rsid w:val="00524BEE"/>
    <w:rsid w:val="00524CF9"/>
    <w:rsid w:val="00525024"/>
    <w:rsid w:val="00527EC0"/>
    <w:rsid w:val="005301CF"/>
    <w:rsid w:val="00533343"/>
    <w:rsid w:val="005342A7"/>
    <w:rsid w:val="00536789"/>
    <w:rsid w:val="00537E1B"/>
    <w:rsid w:val="00541547"/>
    <w:rsid w:val="00545338"/>
    <w:rsid w:val="0054706A"/>
    <w:rsid w:val="005526F6"/>
    <w:rsid w:val="00554A66"/>
    <w:rsid w:val="005577A8"/>
    <w:rsid w:val="0056178D"/>
    <w:rsid w:val="00562297"/>
    <w:rsid w:val="0056604B"/>
    <w:rsid w:val="00567AA0"/>
    <w:rsid w:val="00571A5D"/>
    <w:rsid w:val="00571C87"/>
    <w:rsid w:val="005768E6"/>
    <w:rsid w:val="00577280"/>
    <w:rsid w:val="0058572A"/>
    <w:rsid w:val="005868F2"/>
    <w:rsid w:val="00587C3E"/>
    <w:rsid w:val="00590264"/>
    <w:rsid w:val="00590757"/>
    <w:rsid w:val="005928AD"/>
    <w:rsid w:val="00592C9F"/>
    <w:rsid w:val="0059564E"/>
    <w:rsid w:val="0059578B"/>
    <w:rsid w:val="00596194"/>
    <w:rsid w:val="00596FA5"/>
    <w:rsid w:val="005A0428"/>
    <w:rsid w:val="005A0C09"/>
    <w:rsid w:val="005A273F"/>
    <w:rsid w:val="005A2A33"/>
    <w:rsid w:val="005A520D"/>
    <w:rsid w:val="005A715C"/>
    <w:rsid w:val="005A78E3"/>
    <w:rsid w:val="005B06F3"/>
    <w:rsid w:val="005B0B51"/>
    <w:rsid w:val="005B0CA8"/>
    <w:rsid w:val="005B11FD"/>
    <w:rsid w:val="005B1AD4"/>
    <w:rsid w:val="005B2956"/>
    <w:rsid w:val="005B5904"/>
    <w:rsid w:val="005B6958"/>
    <w:rsid w:val="005C1BBD"/>
    <w:rsid w:val="005C1CC9"/>
    <w:rsid w:val="005C1CD4"/>
    <w:rsid w:val="005C4691"/>
    <w:rsid w:val="005C557B"/>
    <w:rsid w:val="005C779A"/>
    <w:rsid w:val="005C779D"/>
    <w:rsid w:val="005D02D8"/>
    <w:rsid w:val="005D14E2"/>
    <w:rsid w:val="005D170D"/>
    <w:rsid w:val="005D30C0"/>
    <w:rsid w:val="005D3785"/>
    <w:rsid w:val="005D4900"/>
    <w:rsid w:val="005D59D7"/>
    <w:rsid w:val="005D601E"/>
    <w:rsid w:val="005E0803"/>
    <w:rsid w:val="005E1B50"/>
    <w:rsid w:val="005E1D4B"/>
    <w:rsid w:val="005E26DE"/>
    <w:rsid w:val="005E4289"/>
    <w:rsid w:val="005E5773"/>
    <w:rsid w:val="005F0C07"/>
    <w:rsid w:val="005F2882"/>
    <w:rsid w:val="005F3064"/>
    <w:rsid w:val="005F34B3"/>
    <w:rsid w:val="005F4590"/>
    <w:rsid w:val="005F4A98"/>
    <w:rsid w:val="005F59D2"/>
    <w:rsid w:val="00600136"/>
    <w:rsid w:val="00601577"/>
    <w:rsid w:val="00604358"/>
    <w:rsid w:val="0060459C"/>
    <w:rsid w:val="0060687A"/>
    <w:rsid w:val="00607A9A"/>
    <w:rsid w:val="00611E84"/>
    <w:rsid w:val="0061348E"/>
    <w:rsid w:val="0061573B"/>
    <w:rsid w:val="00615839"/>
    <w:rsid w:val="00617B8C"/>
    <w:rsid w:val="006208F0"/>
    <w:rsid w:val="00622247"/>
    <w:rsid w:val="00622FAB"/>
    <w:rsid w:val="00623864"/>
    <w:rsid w:val="0062487C"/>
    <w:rsid w:val="006249AE"/>
    <w:rsid w:val="00625A63"/>
    <w:rsid w:val="00625DF5"/>
    <w:rsid w:val="006268D6"/>
    <w:rsid w:val="00626ED8"/>
    <w:rsid w:val="00627401"/>
    <w:rsid w:val="00627BAA"/>
    <w:rsid w:val="00627F9B"/>
    <w:rsid w:val="00630454"/>
    <w:rsid w:val="006306EB"/>
    <w:rsid w:val="00630919"/>
    <w:rsid w:val="00632855"/>
    <w:rsid w:val="0063496C"/>
    <w:rsid w:val="00636487"/>
    <w:rsid w:val="00636989"/>
    <w:rsid w:val="00637FE2"/>
    <w:rsid w:val="006400BB"/>
    <w:rsid w:val="00641E44"/>
    <w:rsid w:val="006437DF"/>
    <w:rsid w:val="00645D2F"/>
    <w:rsid w:val="00645ECB"/>
    <w:rsid w:val="006463C2"/>
    <w:rsid w:val="00646940"/>
    <w:rsid w:val="00647ED4"/>
    <w:rsid w:val="00650F91"/>
    <w:rsid w:val="006519EC"/>
    <w:rsid w:val="00652427"/>
    <w:rsid w:val="0065297F"/>
    <w:rsid w:val="00652C66"/>
    <w:rsid w:val="00652F37"/>
    <w:rsid w:val="00657AD2"/>
    <w:rsid w:val="006619BD"/>
    <w:rsid w:val="00662B17"/>
    <w:rsid w:val="00662C16"/>
    <w:rsid w:val="006646BD"/>
    <w:rsid w:val="00665705"/>
    <w:rsid w:val="00670897"/>
    <w:rsid w:val="006736F6"/>
    <w:rsid w:val="00673EFD"/>
    <w:rsid w:val="006743B9"/>
    <w:rsid w:val="00674838"/>
    <w:rsid w:val="00676699"/>
    <w:rsid w:val="006775C4"/>
    <w:rsid w:val="00677F9E"/>
    <w:rsid w:val="00684A15"/>
    <w:rsid w:val="00684C7B"/>
    <w:rsid w:val="00684CC2"/>
    <w:rsid w:val="006865AB"/>
    <w:rsid w:val="00686DCE"/>
    <w:rsid w:val="0069068B"/>
    <w:rsid w:val="0069199C"/>
    <w:rsid w:val="00691F80"/>
    <w:rsid w:val="006971A9"/>
    <w:rsid w:val="006A067F"/>
    <w:rsid w:val="006A0DB2"/>
    <w:rsid w:val="006A2867"/>
    <w:rsid w:val="006A2DF2"/>
    <w:rsid w:val="006A2F89"/>
    <w:rsid w:val="006A6598"/>
    <w:rsid w:val="006A65AE"/>
    <w:rsid w:val="006A67DD"/>
    <w:rsid w:val="006A7ED3"/>
    <w:rsid w:val="006B0564"/>
    <w:rsid w:val="006B09BB"/>
    <w:rsid w:val="006B0FCA"/>
    <w:rsid w:val="006B26CE"/>
    <w:rsid w:val="006B4000"/>
    <w:rsid w:val="006C1164"/>
    <w:rsid w:val="006C3238"/>
    <w:rsid w:val="006C4873"/>
    <w:rsid w:val="006C5135"/>
    <w:rsid w:val="006C6196"/>
    <w:rsid w:val="006C7073"/>
    <w:rsid w:val="006D0F2B"/>
    <w:rsid w:val="006D6CEB"/>
    <w:rsid w:val="006D75E7"/>
    <w:rsid w:val="006D76EE"/>
    <w:rsid w:val="006D7A4E"/>
    <w:rsid w:val="006E1860"/>
    <w:rsid w:val="006E2907"/>
    <w:rsid w:val="006E4534"/>
    <w:rsid w:val="006E53ED"/>
    <w:rsid w:val="006E5ED2"/>
    <w:rsid w:val="006E62B3"/>
    <w:rsid w:val="006F0F79"/>
    <w:rsid w:val="006F103E"/>
    <w:rsid w:val="006F49E4"/>
    <w:rsid w:val="006F5F19"/>
    <w:rsid w:val="006F6D69"/>
    <w:rsid w:val="0070075D"/>
    <w:rsid w:val="00701C22"/>
    <w:rsid w:val="00702B75"/>
    <w:rsid w:val="0070357E"/>
    <w:rsid w:val="00703DB9"/>
    <w:rsid w:val="0070464B"/>
    <w:rsid w:val="00706711"/>
    <w:rsid w:val="007070C7"/>
    <w:rsid w:val="0071000D"/>
    <w:rsid w:val="007119AE"/>
    <w:rsid w:val="00712F8E"/>
    <w:rsid w:val="0071511F"/>
    <w:rsid w:val="007154B5"/>
    <w:rsid w:val="00716070"/>
    <w:rsid w:val="0072608C"/>
    <w:rsid w:val="00731851"/>
    <w:rsid w:val="00731AA0"/>
    <w:rsid w:val="00732C9A"/>
    <w:rsid w:val="00732DF3"/>
    <w:rsid w:val="007333C6"/>
    <w:rsid w:val="00733EF0"/>
    <w:rsid w:val="0073463E"/>
    <w:rsid w:val="00741C34"/>
    <w:rsid w:val="00743E3F"/>
    <w:rsid w:val="007446AB"/>
    <w:rsid w:val="00745A3C"/>
    <w:rsid w:val="007463F0"/>
    <w:rsid w:val="0074685A"/>
    <w:rsid w:val="007468EC"/>
    <w:rsid w:val="00746B59"/>
    <w:rsid w:val="0075094F"/>
    <w:rsid w:val="007509D0"/>
    <w:rsid w:val="00750A88"/>
    <w:rsid w:val="00750D7B"/>
    <w:rsid w:val="00753254"/>
    <w:rsid w:val="00755B51"/>
    <w:rsid w:val="00763BA0"/>
    <w:rsid w:val="00763BC6"/>
    <w:rsid w:val="00765004"/>
    <w:rsid w:val="007657C5"/>
    <w:rsid w:val="00766C51"/>
    <w:rsid w:val="00766D76"/>
    <w:rsid w:val="00767FD6"/>
    <w:rsid w:val="00770D1D"/>
    <w:rsid w:val="007740C4"/>
    <w:rsid w:val="00776762"/>
    <w:rsid w:val="00777182"/>
    <w:rsid w:val="007777DB"/>
    <w:rsid w:val="0078293C"/>
    <w:rsid w:val="00784281"/>
    <w:rsid w:val="00785701"/>
    <w:rsid w:val="0078571E"/>
    <w:rsid w:val="007901B5"/>
    <w:rsid w:val="00790CC6"/>
    <w:rsid w:val="00791B64"/>
    <w:rsid w:val="00792D85"/>
    <w:rsid w:val="0079391C"/>
    <w:rsid w:val="00793AC4"/>
    <w:rsid w:val="0079470B"/>
    <w:rsid w:val="00794FA3"/>
    <w:rsid w:val="00795551"/>
    <w:rsid w:val="007963C1"/>
    <w:rsid w:val="00796DD1"/>
    <w:rsid w:val="007A08DD"/>
    <w:rsid w:val="007A0DE1"/>
    <w:rsid w:val="007A1C45"/>
    <w:rsid w:val="007A2629"/>
    <w:rsid w:val="007A2817"/>
    <w:rsid w:val="007A43CC"/>
    <w:rsid w:val="007A7406"/>
    <w:rsid w:val="007B1AD7"/>
    <w:rsid w:val="007B37AC"/>
    <w:rsid w:val="007B5E3F"/>
    <w:rsid w:val="007B5F5F"/>
    <w:rsid w:val="007C0E16"/>
    <w:rsid w:val="007C1289"/>
    <w:rsid w:val="007C53AF"/>
    <w:rsid w:val="007C57E6"/>
    <w:rsid w:val="007C68E8"/>
    <w:rsid w:val="007C71B0"/>
    <w:rsid w:val="007D27B9"/>
    <w:rsid w:val="007D3E87"/>
    <w:rsid w:val="007D41B2"/>
    <w:rsid w:val="007D5537"/>
    <w:rsid w:val="007D7131"/>
    <w:rsid w:val="007D7BBD"/>
    <w:rsid w:val="007E246D"/>
    <w:rsid w:val="007E2D53"/>
    <w:rsid w:val="007E2DDD"/>
    <w:rsid w:val="007E44A9"/>
    <w:rsid w:val="007E4C47"/>
    <w:rsid w:val="007E77DD"/>
    <w:rsid w:val="007F71A7"/>
    <w:rsid w:val="0080071D"/>
    <w:rsid w:val="00800F15"/>
    <w:rsid w:val="00801798"/>
    <w:rsid w:val="008039C8"/>
    <w:rsid w:val="00806E39"/>
    <w:rsid w:val="00807018"/>
    <w:rsid w:val="0080739B"/>
    <w:rsid w:val="008106CF"/>
    <w:rsid w:val="0081186C"/>
    <w:rsid w:val="00813192"/>
    <w:rsid w:val="00816AD2"/>
    <w:rsid w:val="008171C4"/>
    <w:rsid w:val="00817326"/>
    <w:rsid w:val="0081760A"/>
    <w:rsid w:val="008214AA"/>
    <w:rsid w:val="00822B4D"/>
    <w:rsid w:val="0082338D"/>
    <w:rsid w:val="008241A7"/>
    <w:rsid w:val="008243D2"/>
    <w:rsid w:val="00825615"/>
    <w:rsid w:val="0082711B"/>
    <w:rsid w:val="008301A0"/>
    <w:rsid w:val="00832237"/>
    <w:rsid w:val="00832C07"/>
    <w:rsid w:val="00834B51"/>
    <w:rsid w:val="00834C60"/>
    <w:rsid w:val="008353B0"/>
    <w:rsid w:val="00837810"/>
    <w:rsid w:val="00837C11"/>
    <w:rsid w:val="00837CE2"/>
    <w:rsid w:val="00840069"/>
    <w:rsid w:val="00840718"/>
    <w:rsid w:val="00840A80"/>
    <w:rsid w:val="008411B1"/>
    <w:rsid w:val="008431DA"/>
    <w:rsid w:val="00844FB3"/>
    <w:rsid w:val="008456F6"/>
    <w:rsid w:val="008460EA"/>
    <w:rsid w:val="008514C5"/>
    <w:rsid w:val="00851E8F"/>
    <w:rsid w:val="008526A9"/>
    <w:rsid w:val="0085504F"/>
    <w:rsid w:val="0086143D"/>
    <w:rsid w:val="0086215A"/>
    <w:rsid w:val="00862CFF"/>
    <w:rsid w:val="00862DC0"/>
    <w:rsid w:val="0086385D"/>
    <w:rsid w:val="008655D9"/>
    <w:rsid w:val="0086565C"/>
    <w:rsid w:val="008672AD"/>
    <w:rsid w:val="008719FC"/>
    <w:rsid w:val="008739EC"/>
    <w:rsid w:val="00874334"/>
    <w:rsid w:val="00875D87"/>
    <w:rsid w:val="0088015C"/>
    <w:rsid w:val="00880D11"/>
    <w:rsid w:val="00882108"/>
    <w:rsid w:val="00882782"/>
    <w:rsid w:val="00882F78"/>
    <w:rsid w:val="0088302E"/>
    <w:rsid w:val="008837E4"/>
    <w:rsid w:val="008853C4"/>
    <w:rsid w:val="0089052A"/>
    <w:rsid w:val="00891D17"/>
    <w:rsid w:val="008962BC"/>
    <w:rsid w:val="0089671C"/>
    <w:rsid w:val="008A048C"/>
    <w:rsid w:val="008A2ACB"/>
    <w:rsid w:val="008A4947"/>
    <w:rsid w:val="008A5212"/>
    <w:rsid w:val="008A5F23"/>
    <w:rsid w:val="008A6D13"/>
    <w:rsid w:val="008B06AC"/>
    <w:rsid w:val="008B376E"/>
    <w:rsid w:val="008B6C5B"/>
    <w:rsid w:val="008B7C9B"/>
    <w:rsid w:val="008C077B"/>
    <w:rsid w:val="008C1245"/>
    <w:rsid w:val="008C152D"/>
    <w:rsid w:val="008C1D48"/>
    <w:rsid w:val="008C2521"/>
    <w:rsid w:val="008C5D9D"/>
    <w:rsid w:val="008C6140"/>
    <w:rsid w:val="008C6779"/>
    <w:rsid w:val="008D0A08"/>
    <w:rsid w:val="008D1136"/>
    <w:rsid w:val="008D4BBA"/>
    <w:rsid w:val="008D4D7D"/>
    <w:rsid w:val="008E078B"/>
    <w:rsid w:val="008E0D60"/>
    <w:rsid w:val="008E3EE4"/>
    <w:rsid w:val="008E4867"/>
    <w:rsid w:val="008E4F76"/>
    <w:rsid w:val="008E65F3"/>
    <w:rsid w:val="008E707D"/>
    <w:rsid w:val="008F195D"/>
    <w:rsid w:val="008F2172"/>
    <w:rsid w:val="008F2652"/>
    <w:rsid w:val="008F2C36"/>
    <w:rsid w:val="008F3356"/>
    <w:rsid w:val="008F4581"/>
    <w:rsid w:val="008F49E0"/>
    <w:rsid w:val="008F548C"/>
    <w:rsid w:val="0090171F"/>
    <w:rsid w:val="009060EF"/>
    <w:rsid w:val="00907764"/>
    <w:rsid w:val="00907D7E"/>
    <w:rsid w:val="00911BAF"/>
    <w:rsid w:val="00911E33"/>
    <w:rsid w:val="00912E85"/>
    <w:rsid w:val="009138AB"/>
    <w:rsid w:val="009148B1"/>
    <w:rsid w:val="009149D1"/>
    <w:rsid w:val="00921E7C"/>
    <w:rsid w:val="00922AE8"/>
    <w:rsid w:val="00924CE2"/>
    <w:rsid w:val="0092656B"/>
    <w:rsid w:val="00927204"/>
    <w:rsid w:val="009272D4"/>
    <w:rsid w:val="00927878"/>
    <w:rsid w:val="009278B9"/>
    <w:rsid w:val="00931489"/>
    <w:rsid w:val="00932F8C"/>
    <w:rsid w:val="00933F2E"/>
    <w:rsid w:val="009344BA"/>
    <w:rsid w:val="00934E3B"/>
    <w:rsid w:val="009366B8"/>
    <w:rsid w:val="00937E90"/>
    <w:rsid w:val="00941007"/>
    <w:rsid w:val="0094343C"/>
    <w:rsid w:val="00943CF2"/>
    <w:rsid w:val="00944F05"/>
    <w:rsid w:val="00947C2E"/>
    <w:rsid w:val="009542C7"/>
    <w:rsid w:val="009556EB"/>
    <w:rsid w:val="00956F84"/>
    <w:rsid w:val="00957342"/>
    <w:rsid w:val="0096103E"/>
    <w:rsid w:val="00965B96"/>
    <w:rsid w:val="009669A2"/>
    <w:rsid w:val="009671FC"/>
    <w:rsid w:val="0097049D"/>
    <w:rsid w:val="00970921"/>
    <w:rsid w:val="00970CBB"/>
    <w:rsid w:val="00970F73"/>
    <w:rsid w:val="00972371"/>
    <w:rsid w:val="0097409D"/>
    <w:rsid w:val="009743FE"/>
    <w:rsid w:val="0097451B"/>
    <w:rsid w:val="00977DE7"/>
    <w:rsid w:val="00980020"/>
    <w:rsid w:val="0098182E"/>
    <w:rsid w:val="0098266B"/>
    <w:rsid w:val="00983AF8"/>
    <w:rsid w:val="00984803"/>
    <w:rsid w:val="009865E2"/>
    <w:rsid w:val="00993852"/>
    <w:rsid w:val="00993D0E"/>
    <w:rsid w:val="00995648"/>
    <w:rsid w:val="009A1A74"/>
    <w:rsid w:val="009A32DF"/>
    <w:rsid w:val="009A47C2"/>
    <w:rsid w:val="009B147F"/>
    <w:rsid w:val="009B1502"/>
    <w:rsid w:val="009B37ED"/>
    <w:rsid w:val="009B3DD4"/>
    <w:rsid w:val="009B40C2"/>
    <w:rsid w:val="009B7818"/>
    <w:rsid w:val="009C0DCC"/>
    <w:rsid w:val="009C0E06"/>
    <w:rsid w:val="009C3714"/>
    <w:rsid w:val="009C3D83"/>
    <w:rsid w:val="009C69BE"/>
    <w:rsid w:val="009C6BD9"/>
    <w:rsid w:val="009C777E"/>
    <w:rsid w:val="009D1B68"/>
    <w:rsid w:val="009D36A6"/>
    <w:rsid w:val="009D513D"/>
    <w:rsid w:val="009D5194"/>
    <w:rsid w:val="009D52F5"/>
    <w:rsid w:val="009D7A53"/>
    <w:rsid w:val="009E2316"/>
    <w:rsid w:val="009E23BF"/>
    <w:rsid w:val="009E2405"/>
    <w:rsid w:val="009E3317"/>
    <w:rsid w:val="009E4219"/>
    <w:rsid w:val="009E6452"/>
    <w:rsid w:val="009F0CE7"/>
    <w:rsid w:val="009F1608"/>
    <w:rsid w:val="009F1682"/>
    <w:rsid w:val="009F2850"/>
    <w:rsid w:val="009F36EE"/>
    <w:rsid w:val="009F39A0"/>
    <w:rsid w:val="009F6480"/>
    <w:rsid w:val="009F7281"/>
    <w:rsid w:val="00A004FF"/>
    <w:rsid w:val="00A0074D"/>
    <w:rsid w:val="00A01702"/>
    <w:rsid w:val="00A022E2"/>
    <w:rsid w:val="00A04ABF"/>
    <w:rsid w:val="00A053DD"/>
    <w:rsid w:val="00A12C4A"/>
    <w:rsid w:val="00A14485"/>
    <w:rsid w:val="00A17282"/>
    <w:rsid w:val="00A17543"/>
    <w:rsid w:val="00A21A24"/>
    <w:rsid w:val="00A233E9"/>
    <w:rsid w:val="00A2394C"/>
    <w:rsid w:val="00A24647"/>
    <w:rsid w:val="00A25149"/>
    <w:rsid w:val="00A30395"/>
    <w:rsid w:val="00A36761"/>
    <w:rsid w:val="00A371C0"/>
    <w:rsid w:val="00A40F98"/>
    <w:rsid w:val="00A42516"/>
    <w:rsid w:val="00A43041"/>
    <w:rsid w:val="00A435B7"/>
    <w:rsid w:val="00A43991"/>
    <w:rsid w:val="00A44083"/>
    <w:rsid w:val="00A46E3A"/>
    <w:rsid w:val="00A5013A"/>
    <w:rsid w:val="00A514B0"/>
    <w:rsid w:val="00A5324B"/>
    <w:rsid w:val="00A564B1"/>
    <w:rsid w:val="00A56853"/>
    <w:rsid w:val="00A60A8F"/>
    <w:rsid w:val="00A61AE4"/>
    <w:rsid w:val="00A62B83"/>
    <w:rsid w:val="00A64BBF"/>
    <w:rsid w:val="00A65706"/>
    <w:rsid w:val="00A720B1"/>
    <w:rsid w:val="00A75148"/>
    <w:rsid w:val="00A751C1"/>
    <w:rsid w:val="00A77A80"/>
    <w:rsid w:val="00A815E4"/>
    <w:rsid w:val="00A81F2A"/>
    <w:rsid w:val="00A84DFE"/>
    <w:rsid w:val="00A87F50"/>
    <w:rsid w:val="00A905ED"/>
    <w:rsid w:val="00A9080C"/>
    <w:rsid w:val="00A911C1"/>
    <w:rsid w:val="00A91EAD"/>
    <w:rsid w:val="00A930E7"/>
    <w:rsid w:val="00A93150"/>
    <w:rsid w:val="00A93E67"/>
    <w:rsid w:val="00A944FE"/>
    <w:rsid w:val="00A9504B"/>
    <w:rsid w:val="00A9573F"/>
    <w:rsid w:val="00A9774E"/>
    <w:rsid w:val="00AA089F"/>
    <w:rsid w:val="00AA28E0"/>
    <w:rsid w:val="00AA3042"/>
    <w:rsid w:val="00AA54D9"/>
    <w:rsid w:val="00AA73EB"/>
    <w:rsid w:val="00AB1C8A"/>
    <w:rsid w:val="00AB259D"/>
    <w:rsid w:val="00AB2DB3"/>
    <w:rsid w:val="00AB4108"/>
    <w:rsid w:val="00AB4584"/>
    <w:rsid w:val="00AB488B"/>
    <w:rsid w:val="00AB554D"/>
    <w:rsid w:val="00AB5F04"/>
    <w:rsid w:val="00AB6844"/>
    <w:rsid w:val="00AB7815"/>
    <w:rsid w:val="00AB7F3D"/>
    <w:rsid w:val="00AC11FD"/>
    <w:rsid w:val="00AC1E4E"/>
    <w:rsid w:val="00AC52D1"/>
    <w:rsid w:val="00AC6024"/>
    <w:rsid w:val="00AD1EE8"/>
    <w:rsid w:val="00AD4707"/>
    <w:rsid w:val="00AD549A"/>
    <w:rsid w:val="00AD6BDF"/>
    <w:rsid w:val="00AD7FA1"/>
    <w:rsid w:val="00AE1092"/>
    <w:rsid w:val="00AE161B"/>
    <w:rsid w:val="00AE1B3D"/>
    <w:rsid w:val="00AE34D7"/>
    <w:rsid w:val="00AE4708"/>
    <w:rsid w:val="00AE559C"/>
    <w:rsid w:val="00AE69A3"/>
    <w:rsid w:val="00AE7BA1"/>
    <w:rsid w:val="00AF02A2"/>
    <w:rsid w:val="00AF217C"/>
    <w:rsid w:val="00AF21E0"/>
    <w:rsid w:val="00AF35DA"/>
    <w:rsid w:val="00AF5BFA"/>
    <w:rsid w:val="00AF7310"/>
    <w:rsid w:val="00B01259"/>
    <w:rsid w:val="00B04722"/>
    <w:rsid w:val="00B05DBA"/>
    <w:rsid w:val="00B10F4A"/>
    <w:rsid w:val="00B13AD9"/>
    <w:rsid w:val="00B14659"/>
    <w:rsid w:val="00B155A2"/>
    <w:rsid w:val="00B15A97"/>
    <w:rsid w:val="00B15EA6"/>
    <w:rsid w:val="00B20B60"/>
    <w:rsid w:val="00B21BAE"/>
    <w:rsid w:val="00B21C2A"/>
    <w:rsid w:val="00B23C4B"/>
    <w:rsid w:val="00B23E00"/>
    <w:rsid w:val="00B240A9"/>
    <w:rsid w:val="00B27E4C"/>
    <w:rsid w:val="00B30327"/>
    <w:rsid w:val="00B307F1"/>
    <w:rsid w:val="00B3080A"/>
    <w:rsid w:val="00B31134"/>
    <w:rsid w:val="00B34DF3"/>
    <w:rsid w:val="00B354BA"/>
    <w:rsid w:val="00B4241B"/>
    <w:rsid w:val="00B44AFC"/>
    <w:rsid w:val="00B46BB9"/>
    <w:rsid w:val="00B52D21"/>
    <w:rsid w:val="00B53D3F"/>
    <w:rsid w:val="00B54E0D"/>
    <w:rsid w:val="00B553BA"/>
    <w:rsid w:val="00B56017"/>
    <w:rsid w:val="00B60B0A"/>
    <w:rsid w:val="00B61303"/>
    <w:rsid w:val="00B61851"/>
    <w:rsid w:val="00B61C23"/>
    <w:rsid w:val="00B6263D"/>
    <w:rsid w:val="00B63EB5"/>
    <w:rsid w:val="00B63FDC"/>
    <w:rsid w:val="00B653B9"/>
    <w:rsid w:val="00B65D85"/>
    <w:rsid w:val="00B661D4"/>
    <w:rsid w:val="00B66D50"/>
    <w:rsid w:val="00B71395"/>
    <w:rsid w:val="00B725D9"/>
    <w:rsid w:val="00B729A0"/>
    <w:rsid w:val="00B735C3"/>
    <w:rsid w:val="00B73F54"/>
    <w:rsid w:val="00B7763A"/>
    <w:rsid w:val="00B77F96"/>
    <w:rsid w:val="00B8027B"/>
    <w:rsid w:val="00B80FE3"/>
    <w:rsid w:val="00B81258"/>
    <w:rsid w:val="00B81EAA"/>
    <w:rsid w:val="00B84256"/>
    <w:rsid w:val="00B8506F"/>
    <w:rsid w:val="00B857BB"/>
    <w:rsid w:val="00B876AE"/>
    <w:rsid w:val="00B90FBC"/>
    <w:rsid w:val="00B91E89"/>
    <w:rsid w:val="00B9389F"/>
    <w:rsid w:val="00B94EBF"/>
    <w:rsid w:val="00B97A04"/>
    <w:rsid w:val="00BA4A34"/>
    <w:rsid w:val="00BA4F83"/>
    <w:rsid w:val="00BA587D"/>
    <w:rsid w:val="00BA5D4E"/>
    <w:rsid w:val="00BA5D8B"/>
    <w:rsid w:val="00BA6C99"/>
    <w:rsid w:val="00BA6E9C"/>
    <w:rsid w:val="00BA737C"/>
    <w:rsid w:val="00BA782B"/>
    <w:rsid w:val="00BA7B6B"/>
    <w:rsid w:val="00BB49D9"/>
    <w:rsid w:val="00BC30E9"/>
    <w:rsid w:val="00BC54C0"/>
    <w:rsid w:val="00BC6B9B"/>
    <w:rsid w:val="00BC6BB2"/>
    <w:rsid w:val="00BD0DE1"/>
    <w:rsid w:val="00BD3BBC"/>
    <w:rsid w:val="00BD4DD4"/>
    <w:rsid w:val="00BD5B94"/>
    <w:rsid w:val="00BD7DD4"/>
    <w:rsid w:val="00BE09F8"/>
    <w:rsid w:val="00BE0C8C"/>
    <w:rsid w:val="00BE3665"/>
    <w:rsid w:val="00BE38D7"/>
    <w:rsid w:val="00BE4415"/>
    <w:rsid w:val="00BE51E1"/>
    <w:rsid w:val="00BE57B0"/>
    <w:rsid w:val="00BE5A8E"/>
    <w:rsid w:val="00BE61E3"/>
    <w:rsid w:val="00BE6BE3"/>
    <w:rsid w:val="00BE72B2"/>
    <w:rsid w:val="00BF28A5"/>
    <w:rsid w:val="00BF5E07"/>
    <w:rsid w:val="00BF6A4C"/>
    <w:rsid w:val="00C034F0"/>
    <w:rsid w:val="00C05537"/>
    <w:rsid w:val="00C10F02"/>
    <w:rsid w:val="00C12425"/>
    <w:rsid w:val="00C1342F"/>
    <w:rsid w:val="00C13AAE"/>
    <w:rsid w:val="00C20C84"/>
    <w:rsid w:val="00C210ED"/>
    <w:rsid w:val="00C21F8E"/>
    <w:rsid w:val="00C22A33"/>
    <w:rsid w:val="00C22A52"/>
    <w:rsid w:val="00C329F2"/>
    <w:rsid w:val="00C33728"/>
    <w:rsid w:val="00C35FDC"/>
    <w:rsid w:val="00C374A4"/>
    <w:rsid w:val="00C414DC"/>
    <w:rsid w:val="00C43778"/>
    <w:rsid w:val="00C46911"/>
    <w:rsid w:val="00C46922"/>
    <w:rsid w:val="00C46CC7"/>
    <w:rsid w:val="00C50956"/>
    <w:rsid w:val="00C51061"/>
    <w:rsid w:val="00C51373"/>
    <w:rsid w:val="00C519EE"/>
    <w:rsid w:val="00C520D9"/>
    <w:rsid w:val="00C523A4"/>
    <w:rsid w:val="00C61C60"/>
    <w:rsid w:val="00C640D8"/>
    <w:rsid w:val="00C657C3"/>
    <w:rsid w:val="00C6645D"/>
    <w:rsid w:val="00C66EC6"/>
    <w:rsid w:val="00C706FB"/>
    <w:rsid w:val="00C71023"/>
    <w:rsid w:val="00C71397"/>
    <w:rsid w:val="00C724CE"/>
    <w:rsid w:val="00C727C1"/>
    <w:rsid w:val="00C75265"/>
    <w:rsid w:val="00C75DA2"/>
    <w:rsid w:val="00C762AA"/>
    <w:rsid w:val="00C81595"/>
    <w:rsid w:val="00C8409B"/>
    <w:rsid w:val="00C852AA"/>
    <w:rsid w:val="00C91558"/>
    <w:rsid w:val="00C91FD3"/>
    <w:rsid w:val="00C943C3"/>
    <w:rsid w:val="00C95001"/>
    <w:rsid w:val="00C962A2"/>
    <w:rsid w:val="00C962AE"/>
    <w:rsid w:val="00C9647E"/>
    <w:rsid w:val="00CA03B7"/>
    <w:rsid w:val="00CA26D4"/>
    <w:rsid w:val="00CA436A"/>
    <w:rsid w:val="00CA4398"/>
    <w:rsid w:val="00CA4A62"/>
    <w:rsid w:val="00CA4F26"/>
    <w:rsid w:val="00CA5871"/>
    <w:rsid w:val="00CB039F"/>
    <w:rsid w:val="00CB1DAA"/>
    <w:rsid w:val="00CB2424"/>
    <w:rsid w:val="00CB2D51"/>
    <w:rsid w:val="00CB4491"/>
    <w:rsid w:val="00CB4B69"/>
    <w:rsid w:val="00CB4C49"/>
    <w:rsid w:val="00CB5F13"/>
    <w:rsid w:val="00CB5F1B"/>
    <w:rsid w:val="00CB628B"/>
    <w:rsid w:val="00CB6BEC"/>
    <w:rsid w:val="00CB72A4"/>
    <w:rsid w:val="00CB7B08"/>
    <w:rsid w:val="00CC0EF3"/>
    <w:rsid w:val="00CC1354"/>
    <w:rsid w:val="00CC1875"/>
    <w:rsid w:val="00CC48F5"/>
    <w:rsid w:val="00CC61F2"/>
    <w:rsid w:val="00CC6D17"/>
    <w:rsid w:val="00CD0B9B"/>
    <w:rsid w:val="00CD1880"/>
    <w:rsid w:val="00CD1B3B"/>
    <w:rsid w:val="00CD3C28"/>
    <w:rsid w:val="00CD5367"/>
    <w:rsid w:val="00CD536B"/>
    <w:rsid w:val="00CD5CFF"/>
    <w:rsid w:val="00CE09B4"/>
    <w:rsid w:val="00CE1E91"/>
    <w:rsid w:val="00CE3EAE"/>
    <w:rsid w:val="00CE6B12"/>
    <w:rsid w:val="00CF19E2"/>
    <w:rsid w:val="00CF6896"/>
    <w:rsid w:val="00CF6A1F"/>
    <w:rsid w:val="00CF731D"/>
    <w:rsid w:val="00D02AE8"/>
    <w:rsid w:val="00D032BF"/>
    <w:rsid w:val="00D03C29"/>
    <w:rsid w:val="00D06743"/>
    <w:rsid w:val="00D137A6"/>
    <w:rsid w:val="00D1407D"/>
    <w:rsid w:val="00D1488C"/>
    <w:rsid w:val="00D14AA4"/>
    <w:rsid w:val="00D1683A"/>
    <w:rsid w:val="00D21490"/>
    <w:rsid w:val="00D2412C"/>
    <w:rsid w:val="00D24C63"/>
    <w:rsid w:val="00D26FC4"/>
    <w:rsid w:val="00D31674"/>
    <w:rsid w:val="00D32F11"/>
    <w:rsid w:val="00D33B08"/>
    <w:rsid w:val="00D34B8F"/>
    <w:rsid w:val="00D34DA4"/>
    <w:rsid w:val="00D37984"/>
    <w:rsid w:val="00D424A1"/>
    <w:rsid w:val="00D447E7"/>
    <w:rsid w:val="00D44A8B"/>
    <w:rsid w:val="00D47285"/>
    <w:rsid w:val="00D500B9"/>
    <w:rsid w:val="00D51A81"/>
    <w:rsid w:val="00D51E6D"/>
    <w:rsid w:val="00D548A9"/>
    <w:rsid w:val="00D54D12"/>
    <w:rsid w:val="00D55262"/>
    <w:rsid w:val="00D55B77"/>
    <w:rsid w:val="00D5663D"/>
    <w:rsid w:val="00D5694D"/>
    <w:rsid w:val="00D56E50"/>
    <w:rsid w:val="00D57CCD"/>
    <w:rsid w:val="00D57E7A"/>
    <w:rsid w:val="00D61490"/>
    <w:rsid w:val="00D62F93"/>
    <w:rsid w:val="00D632D0"/>
    <w:rsid w:val="00D64A63"/>
    <w:rsid w:val="00D65B43"/>
    <w:rsid w:val="00D6678F"/>
    <w:rsid w:val="00D6717D"/>
    <w:rsid w:val="00D6785B"/>
    <w:rsid w:val="00D6795C"/>
    <w:rsid w:val="00D716B1"/>
    <w:rsid w:val="00D71E80"/>
    <w:rsid w:val="00D720B5"/>
    <w:rsid w:val="00D72B41"/>
    <w:rsid w:val="00D72D8B"/>
    <w:rsid w:val="00D74249"/>
    <w:rsid w:val="00D81369"/>
    <w:rsid w:val="00D81D85"/>
    <w:rsid w:val="00D86026"/>
    <w:rsid w:val="00D92E77"/>
    <w:rsid w:val="00D93B89"/>
    <w:rsid w:val="00D9630A"/>
    <w:rsid w:val="00DA0125"/>
    <w:rsid w:val="00DA3773"/>
    <w:rsid w:val="00DA4672"/>
    <w:rsid w:val="00DA7D5A"/>
    <w:rsid w:val="00DB0C9A"/>
    <w:rsid w:val="00DB3214"/>
    <w:rsid w:val="00DB48E3"/>
    <w:rsid w:val="00DB4D3C"/>
    <w:rsid w:val="00DB7849"/>
    <w:rsid w:val="00DB7856"/>
    <w:rsid w:val="00DC21B8"/>
    <w:rsid w:val="00DC5347"/>
    <w:rsid w:val="00DD056F"/>
    <w:rsid w:val="00DD0EAD"/>
    <w:rsid w:val="00DD3172"/>
    <w:rsid w:val="00DD36DC"/>
    <w:rsid w:val="00DD4AF2"/>
    <w:rsid w:val="00DD50E0"/>
    <w:rsid w:val="00DD7A30"/>
    <w:rsid w:val="00DD7E6E"/>
    <w:rsid w:val="00DE56E4"/>
    <w:rsid w:val="00DE7908"/>
    <w:rsid w:val="00DE7B9B"/>
    <w:rsid w:val="00DF41F2"/>
    <w:rsid w:val="00DF4AF6"/>
    <w:rsid w:val="00DF51A9"/>
    <w:rsid w:val="00DF61A2"/>
    <w:rsid w:val="00DF7581"/>
    <w:rsid w:val="00DF7E7E"/>
    <w:rsid w:val="00E022F1"/>
    <w:rsid w:val="00E038D6"/>
    <w:rsid w:val="00E03D6F"/>
    <w:rsid w:val="00E04758"/>
    <w:rsid w:val="00E0497F"/>
    <w:rsid w:val="00E06716"/>
    <w:rsid w:val="00E072EF"/>
    <w:rsid w:val="00E07BEF"/>
    <w:rsid w:val="00E10315"/>
    <w:rsid w:val="00E10B66"/>
    <w:rsid w:val="00E10D3E"/>
    <w:rsid w:val="00E15F85"/>
    <w:rsid w:val="00E17F7D"/>
    <w:rsid w:val="00E20E74"/>
    <w:rsid w:val="00E20EC5"/>
    <w:rsid w:val="00E23694"/>
    <w:rsid w:val="00E24A2A"/>
    <w:rsid w:val="00E26705"/>
    <w:rsid w:val="00E30D81"/>
    <w:rsid w:val="00E34C6C"/>
    <w:rsid w:val="00E376B6"/>
    <w:rsid w:val="00E404C9"/>
    <w:rsid w:val="00E4114C"/>
    <w:rsid w:val="00E41913"/>
    <w:rsid w:val="00E41B7D"/>
    <w:rsid w:val="00E451FE"/>
    <w:rsid w:val="00E50DF3"/>
    <w:rsid w:val="00E53860"/>
    <w:rsid w:val="00E540C1"/>
    <w:rsid w:val="00E5438B"/>
    <w:rsid w:val="00E54D6C"/>
    <w:rsid w:val="00E55B94"/>
    <w:rsid w:val="00E579BE"/>
    <w:rsid w:val="00E600EA"/>
    <w:rsid w:val="00E60DB7"/>
    <w:rsid w:val="00E63830"/>
    <w:rsid w:val="00E64E3A"/>
    <w:rsid w:val="00E66AD7"/>
    <w:rsid w:val="00E672DD"/>
    <w:rsid w:val="00E67693"/>
    <w:rsid w:val="00E702F5"/>
    <w:rsid w:val="00E704BF"/>
    <w:rsid w:val="00E712BA"/>
    <w:rsid w:val="00E7240E"/>
    <w:rsid w:val="00E72AE9"/>
    <w:rsid w:val="00E7386C"/>
    <w:rsid w:val="00E73DC1"/>
    <w:rsid w:val="00E744A3"/>
    <w:rsid w:val="00E74B31"/>
    <w:rsid w:val="00E754EA"/>
    <w:rsid w:val="00E80191"/>
    <w:rsid w:val="00E802A5"/>
    <w:rsid w:val="00E804C2"/>
    <w:rsid w:val="00E80F70"/>
    <w:rsid w:val="00E8254C"/>
    <w:rsid w:val="00E82BFE"/>
    <w:rsid w:val="00E905B5"/>
    <w:rsid w:val="00E939FD"/>
    <w:rsid w:val="00E968F4"/>
    <w:rsid w:val="00E972C3"/>
    <w:rsid w:val="00E97B00"/>
    <w:rsid w:val="00EA120E"/>
    <w:rsid w:val="00EA1C46"/>
    <w:rsid w:val="00EA6134"/>
    <w:rsid w:val="00EB02B9"/>
    <w:rsid w:val="00EB0601"/>
    <w:rsid w:val="00EB1BEC"/>
    <w:rsid w:val="00EB2A6F"/>
    <w:rsid w:val="00EB32B9"/>
    <w:rsid w:val="00EB4EAF"/>
    <w:rsid w:val="00EB6005"/>
    <w:rsid w:val="00EB644E"/>
    <w:rsid w:val="00EB70BB"/>
    <w:rsid w:val="00EB7A79"/>
    <w:rsid w:val="00EB7D13"/>
    <w:rsid w:val="00EC13ED"/>
    <w:rsid w:val="00EC1462"/>
    <w:rsid w:val="00EC1BEB"/>
    <w:rsid w:val="00EC2936"/>
    <w:rsid w:val="00EC2BD5"/>
    <w:rsid w:val="00EC4C0C"/>
    <w:rsid w:val="00ED0C3A"/>
    <w:rsid w:val="00ED0C4A"/>
    <w:rsid w:val="00ED0E87"/>
    <w:rsid w:val="00ED30E1"/>
    <w:rsid w:val="00ED33CD"/>
    <w:rsid w:val="00ED530D"/>
    <w:rsid w:val="00ED6C5D"/>
    <w:rsid w:val="00ED778D"/>
    <w:rsid w:val="00EE1D59"/>
    <w:rsid w:val="00EE2EDE"/>
    <w:rsid w:val="00EE2F34"/>
    <w:rsid w:val="00EF10E5"/>
    <w:rsid w:val="00EF11B4"/>
    <w:rsid w:val="00EF268D"/>
    <w:rsid w:val="00EF4A94"/>
    <w:rsid w:val="00EF5523"/>
    <w:rsid w:val="00EF7F1A"/>
    <w:rsid w:val="00F0188F"/>
    <w:rsid w:val="00F01FB9"/>
    <w:rsid w:val="00F04B50"/>
    <w:rsid w:val="00F0568D"/>
    <w:rsid w:val="00F0663F"/>
    <w:rsid w:val="00F073C1"/>
    <w:rsid w:val="00F10931"/>
    <w:rsid w:val="00F11859"/>
    <w:rsid w:val="00F1342C"/>
    <w:rsid w:val="00F1489D"/>
    <w:rsid w:val="00F14B06"/>
    <w:rsid w:val="00F14B90"/>
    <w:rsid w:val="00F21955"/>
    <w:rsid w:val="00F23D6F"/>
    <w:rsid w:val="00F24060"/>
    <w:rsid w:val="00F24CC6"/>
    <w:rsid w:val="00F24FD1"/>
    <w:rsid w:val="00F25CBD"/>
    <w:rsid w:val="00F2614B"/>
    <w:rsid w:val="00F33221"/>
    <w:rsid w:val="00F365C8"/>
    <w:rsid w:val="00F37F3A"/>
    <w:rsid w:val="00F40241"/>
    <w:rsid w:val="00F443A6"/>
    <w:rsid w:val="00F444FB"/>
    <w:rsid w:val="00F45AC2"/>
    <w:rsid w:val="00F50656"/>
    <w:rsid w:val="00F6053D"/>
    <w:rsid w:val="00F62BDA"/>
    <w:rsid w:val="00F62C79"/>
    <w:rsid w:val="00F658FD"/>
    <w:rsid w:val="00F65AFE"/>
    <w:rsid w:val="00F65B69"/>
    <w:rsid w:val="00F667AD"/>
    <w:rsid w:val="00F676D2"/>
    <w:rsid w:val="00F717A0"/>
    <w:rsid w:val="00F72087"/>
    <w:rsid w:val="00F72DCB"/>
    <w:rsid w:val="00F75C45"/>
    <w:rsid w:val="00F77011"/>
    <w:rsid w:val="00F82206"/>
    <w:rsid w:val="00F828F8"/>
    <w:rsid w:val="00F82F30"/>
    <w:rsid w:val="00F864BD"/>
    <w:rsid w:val="00F87445"/>
    <w:rsid w:val="00F9327C"/>
    <w:rsid w:val="00F93687"/>
    <w:rsid w:val="00F952F6"/>
    <w:rsid w:val="00F955A1"/>
    <w:rsid w:val="00F95875"/>
    <w:rsid w:val="00F95ADC"/>
    <w:rsid w:val="00F97259"/>
    <w:rsid w:val="00F9793E"/>
    <w:rsid w:val="00FA120B"/>
    <w:rsid w:val="00FA157F"/>
    <w:rsid w:val="00FA22EB"/>
    <w:rsid w:val="00FA2C75"/>
    <w:rsid w:val="00FA336C"/>
    <w:rsid w:val="00FA4059"/>
    <w:rsid w:val="00FA4CEE"/>
    <w:rsid w:val="00FA51DE"/>
    <w:rsid w:val="00FA7F55"/>
    <w:rsid w:val="00FB237E"/>
    <w:rsid w:val="00FB5C4B"/>
    <w:rsid w:val="00FB667E"/>
    <w:rsid w:val="00FC20A2"/>
    <w:rsid w:val="00FC341A"/>
    <w:rsid w:val="00FC4585"/>
    <w:rsid w:val="00FC4C98"/>
    <w:rsid w:val="00FC50F0"/>
    <w:rsid w:val="00FC52C2"/>
    <w:rsid w:val="00FD0BF4"/>
    <w:rsid w:val="00FD1866"/>
    <w:rsid w:val="00FD5A20"/>
    <w:rsid w:val="00FD7125"/>
    <w:rsid w:val="00FD73EA"/>
    <w:rsid w:val="00FD75A0"/>
    <w:rsid w:val="00FE1158"/>
    <w:rsid w:val="00FE15BF"/>
    <w:rsid w:val="00FE2DA9"/>
    <w:rsid w:val="00FE6B47"/>
    <w:rsid w:val="00FF1A01"/>
    <w:rsid w:val="00FF1E9E"/>
    <w:rsid w:val="00FF241F"/>
    <w:rsid w:val="00FF2B50"/>
    <w:rsid w:val="00FF3FA6"/>
    <w:rsid w:val="00FF4845"/>
    <w:rsid w:val="0119785A"/>
    <w:rsid w:val="013E2018"/>
    <w:rsid w:val="0225658A"/>
    <w:rsid w:val="023A0FB7"/>
    <w:rsid w:val="04654DC4"/>
    <w:rsid w:val="04BC0585"/>
    <w:rsid w:val="057274FF"/>
    <w:rsid w:val="05F81B6E"/>
    <w:rsid w:val="064674D8"/>
    <w:rsid w:val="06497B03"/>
    <w:rsid w:val="0A5B0B52"/>
    <w:rsid w:val="0A5B1BB3"/>
    <w:rsid w:val="0CE25930"/>
    <w:rsid w:val="0D0365E6"/>
    <w:rsid w:val="0E2D0652"/>
    <w:rsid w:val="0E50408A"/>
    <w:rsid w:val="0EBE023F"/>
    <w:rsid w:val="105015D1"/>
    <w:rsid w:val="17911022"/>
    <w:rsid w:val="18A10AF7"/>
    <w:rsid w:val="18F733EE"/>
    <w:rsid w:val="19277122"/>
    <w:rsid w:val="1B5E2017"/>
    <w:rsid w:val="1C8361D3"/>
    <w:rsid w:val="1F3320F3"/>
    <w:rsid w:val="1F5008F0"/>
    <w:rsid w:val="208D5E99"/>
    <w:rsid w:val="210324B5"/>
    <w:rsid w:val="22901550"/>
    <w:rsid w:val="23834AD2"/>
    <w:rsid w:val="23F53B0C"/>
    <w:rsid w:val="29421AC0"/>
    <w:rsid w:val="29940245"/>
    <w:rsid w:val="29B941A9"/>
    <w:rsid w:val="2AB01C96"/>
    <w:rsid w:val="2B6739C3"/>
    <w:rsid w:val="2D642184"/>
    <w:rsid w:val="2D68708A"/>
    <w:rsid w:val="2E29718E"/>
    <w:rsid w:val="2EEF2F90"/>
    <w:rsid w:val="2F547BEE"/>
    <w:rsid w:val="33756B35"/>
    <w:rsid w:val="341749E1"/>
    <w:rsid w:val="34FE54D5"/>
    <w:rsid w:val="35C25DC7"/>
    <w:rsid w:val="37E2709A"/>
    <w:rsid w:val="389E45F0"/>
    <w:rsid w:val="39FA48AC"/>
    <w:rsid w:val="3BCD47A7"/>
    <w:rsid w:val="3BD10C2F"/>
    <w:rsid w:val="3C161724"/>
    <w:rsid w:val="3D8E5820"/>
    <w:rsid w:val="4026664B"/>
    <w:rsid w:val="419F3E7B"/>
    <w:rsid w:val="41BB44E3"/>
    <w:rsid w:val="41D81894"/>
    <w:rsid w:val="427C1FAA"/>
    <w:rsid w:val="42DC7E3D"/>
    <w:rsid w:val="43382755"/>
    <w:rsid w:val="435C7102"/>
    <w:rsid w:val="43CF0940"/>
    <w:rsid w:val="44DD6689"/>
    <w:rsid w:val="457D34BC"/>
    <w:rsid w:val="45940009"/>
    <w:rsid w:val="47833F1C"/>
    <w:rsid w:val="48CB23FB"/>
    <w:rsid w:val="49447842"/>
    <w:rsid w:val="49DD4924"/>
    <w:rsid w:val="4A941D73"/>
    <w:rsid w:val="4CC35826"/>
    <w:rsid w:val="4CC748AA"/>
    <w:rsid w:val="505E3468"/>
    <w:rsid w:val="50F471DE"/>
    <w:rsid w:val="5389414D"/>
    <w:rsid w:val="544818E1"/>
    <w:rsid w:val="55A979BB"/>
    <w:rsid w:val="569C67A5"/>
    <w:rsid w:val="58474FEC"/>
    <w:rsid w:val="589907E9"/>
    <w:rsid w:val="59FA28A1"/>
    <w:rsid w:val="5FB47C92"/>
    <w:rsid w:val="6142619F"/>
    <w:rsid w:val="625D3067"/>
    <w:rsid w:val="62791BFD"/>
    <w:rsid w:val="62831FBB"/>
    <w:rsid w:val="639E277B"/>
    <w:rsid w:val="6600448F"/>
    <w:rsid w:val="6842701C"/>
    <w:rsid w:val="690006D4"/>
    <w:rsid w:val="6A0C1CD9"/>
    <w:rsid w:val="6AA27A80"/>
    <w:rsid w:val="6D3909BE"/>
    <w:rsid w:val="6E2240BC"/>
    <w:rsid w:val="6F95081D"/>
    <w:rsid w:val="6FAB29C1"/>
    <w:rsid w:val="71405A4D"/>
    <w:rsid w:val="74561052"/>
    <w:rsid w:val="749F1296"/>
    <w:rsid w:val="74A15023"/>
    <w:rsid w:val="74D900BF"/>
    <w:rsid w:val="751D5331"/>
    <w:rsid w:val="75444DAD"/>
    <w:rsid w:val="763335B4"/>
    <w:rsid w:val="77DD7433"/>
    <w:rsid w:val="78F57EFF"/>
    <w:rsid w:val="79C066CF"/>
    <w:rsid w:val="7AC23973"/>
    <w:rsid w:val="7D6C715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0" w:name="annotation text"/>
    <w:lsdException w:qFormat="1" w:uiPriority="0" w:semiHidden="0" w:name="header"/>
    <w:lsdException w:qFormat="1"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99"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iPriority="99" w:semiHidden="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beforeLines="30" w:afterLines="30" w:line="288" w:lineRule="auto"/>
      <w:ind w:firstLine="200" w:firstLineChars="200"/>
      <w:jc w:val="both"/>
    </w:pPr>
    <w:rPr>
      <w:rFonts w:ascii="Arial" w:hAnsi="Arial" w:eastAsia="微软雅黑" w:cs="黑体"/>
      <w:kern w:val="2"/>
      <w:sz w:val="21"/>
      <w:szCs w:val="22"/>
      <w:lang w:val="en-US" w:eastAsia="zh-CN" w:bidi="ar-SA"/>
    </w:rPr>
  </w:style>
  <w:style w:type="paragraph" w:styleId="3">
    <w:name w:val="heading 1"/>
    <w:basedOn w:val="1"/>
    <w:next w:val="1"/>
    <w:link w:val="42"/>
    <w:qFormat/>
    <w:uiPriority w:val="9"/>
    <w:pPr>
      <w:keepNext/>
      <w:keepLines/>
      <w:spacing w:beforeLines="0" w:afterLines="80" w:line="240" w:lineRule="auto"/>
      <w:ind w:firstLine="0" w:firstLineChars="0"/>
      <w:outlineLvl w:val="0"/>
    </w:pPr>
    <w:rPr>
      <w:bCs/>
      <w:kern w:val="44"/>
      <w:sz w:val="36"/>
      <w:szCs w:val="44"/>
    </w:rPr>
  </w:style>
  <w:style w:type="paragraph" w:styleId="4">
    <w:name w:val="heading 2"/>
    <w:basedOn w:val="1"/>
    <w:next w:val="1"/>
    <w:link w:val="43"/>
    <w:unhideWhenUsed/>
    <w:qFormat/>
    <w:uiPriority w:val="9"/>
    <w:pPr>
      <w:keepNext/>
      <w:keepLines/>
      <w:spacing w:before="93" w:after="93" w:line="415" w:lineRule="auto"/>
      <w:ind w:firstLine="0" w:firstLineChars="0"/>
      <w:outlineLvl w:val="1"/>
    </w:pPr>
    <w:rPr>
      <w:b/>
      <w:bCs/>
      <w:sz w:val="32"/>
      <w:szCs w:val="32"/>
    </w:rPr>
  </w:style>
  <w:style w:type="paragraph" w:styleId="5">
    <w:name w:val="heading 3"/>
    <w:basedOn w:val="1"/>
    <w:next w:val="1"/>
    <w:link w:val="48"/>
    <w:unhideWhenUsed/>
    <w:qFormat/>
    <w:uiPriority w:val="9"/>
    <w:pPr>
      <w:keepNext/>
      <w:keepLines/>
      <w:spacing w:beforeLines="100" w:afterLines="0" w:line="360" w:lineRule="auto"/>
      <w:ind w:firstLine="0" w:firstLineChars="0"/>
      <w:outlineLvl w:val="2"/>
    </w:pPr>
    <w:rPr>
      <w:b/>
      <w:bCs/>
      <w:sz w:val="22"/>
      <w:szCs w:val="32"/>
    </w:rPr>
  </w:style>
  <w:style w:type="paragraph" w:styleId="6">
    <w:name w:val="heading 4"/>
    <w:basedOn w:val="1"/>
    <w:next w:val="1"/>
    <w:link w:val="53"/>
    <w:unhideWhenUsed/>
    <w:qFormat/>
    <w:uiPriority w:val="9"/>
    <w:pPr>
      <w:keepNext/>
      <w:keepLines/>
      <w:spacing w:before="280" w:after="290" w:line="376" w:lineRule="auto"/>
      <w:outlineLvl w:val="3"/>
    </w:pPr>
    <w:rPr>
      <w:b/>
      <w:bCs/>
      <w:sz w:val="28"/>
      <w:szCs w:val="28"/>
    </w:rPr>
  </w:style>
  <w:style w:type="character" w:default="1" w:styleId="19">
    <w:name w:val="Default Paragraph Font"/>
    <w:semiHidden/>
    <w:unhideWhenUsed/>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unhideWhenUsed/>
    <w:qFormat/>
    <w:uiPriority w:val="99"/>
    <w:pPr>
      <w:spacing w:after="120" w:line="480" w:lineRule="auto"/>
      <w:ind w:left="420" w:leftChars="200"/>
    </w:pPr>
  </w:style>
  <w:style w:type="paragraph" w:styleId="7">
    <w:name w:val="Document Map"/>
    <w:basedOn w:val="1"/>
    <w:link w:val="47"/>
    <w:unhideWhenUsed/>
    <w:qFormat/>
    <w:uiPriority w:val="99"/>
    <w:rPr>
      <w:rFonts w:ascii="宋体" w:eastAsia="宋体"/>
      <w:sz w:val="18"/>
      <w:szCs w:val="18"/>
    </w:rPr>
  </w:style>
  <w:style w:type="paragraph" w:styleId="8">
    <w:name w:val="Body Text"/>
    <w:basedOn w:val="1"/>
    <w:link w:val="54"/>
    <w:qFormat/>
    <w:uiPriority w:val="0"/>
    <w:pPr>
      <w:autoSpaceDE w:val="0"/>
      <w:autoSpaceDN w:val="0"/>
      <w:snapToGrid/>
      <w:spacing w:beforeLines="0" w:afterLines="0" w:line="240" w:lineRule="auto"/>
      <w:ind w:firstLine="420"/>
      <w:jc w:val="left"/>
    </w:pPr>
    <w:rPr>
      <w:rFonts w:eastAsia="幼圆" w:cs="Arial"/>
      <w:kern w:val="0"/>
      <w:szCs w:val="20"/>
    </w:rPr>
  </w:style>
  <w:style w:type="paragraph" w:styleId="9">
    <w:name w:val="toc 3"/>
    <w:basedOn w:val="1"/>
    <w:next w:val="1"/>
    <w:unhideWhenUsed/>
    <w:qFormat/>
    <w:uiPriority w:val="39"/>
    <w:pPr>
      <w:tabs>
        <w:tab w:val="right" w:leader="dot" w:pos="10104"/>
      </w:tabs>
      <w:adjustRightInd/>
      <w:snapToGrid/>
      <w:spacing w:beforeLines="0" w:afterLines="0" w:line="240" w:lineRule="auto"/>
      <w:ind w:left="1470" w:leftChars="700" w:firstLine="0" w:firstLineChars="0"/>
    </w:pPr>
    <w:rPr>
      <w:sz w:val="18"/>
    </w:rPr>
  </w:style>
  <w:style w:type="paragraph" w:styleId="10">
    <w:name w:val="Balloon Text"/>
    <w:basedOn w:val="1"/>
    <w:link w:val="36"/>
    <w:unhideWhenUsed/>
    <w:qFormat/>
    <w:uiPriority w:val="99"/>
    <w:rPr>
      <w:sz w:val="18"/>
      <w:szCs w:val="18"/>
    </w:rPr>
  </w:style>
  <w:style w:type="paragraph" w:styleId="11">
    <w:name w:val="footer"/>
    <w:basedOn w:val="1"/>
    <w:link w:val="38"/>
    <w:unhideWhenUsed/>
    <w:qFormat/>
    <w:uiPriority w:val="0"/>
    <w:pPr>
      <w:tabs>
        <w:tab w:val="center" w:pos="4153"/>
        <w:tab w:val="right" w:pos="8306"/>
      </w:tabs>
      <w:jc w:val="left"/>
    </w:pPr>
    <w:rPr>
      <w:sz w:val="18"/>
      <w:szCs w:val="18"/>
    </w:rPr>
  </w:style>
  <w:style w:type="paragraph" w:styleId="12">
    <w:name w:val="header"/>
    <w:basedOn w:val="1"/>
    <w:link w:val="37"/>
    <w:unhideWhenUsed/>
    <w:qFormat/>
    <w:uiPriority w:val="0"/>
    <w:pPr>
      <w:pBdr>
        <w:bottom w:val="single" w:color="auto" w:sz="6" w:space="1"/>
      </w:pBdr>
      <w:tabs>
        <w:tab w:val="center" w:pos="4153"/>
        <w:tab w:val="right" w:pos="8306"/>
      </w:tabs>
      <w:jc w:val="center"/>
    </w:pPr>
    <w:rPr>
      <w:sz w:val="18"/>
      <w:szCs w:val="18"/>
    </w:rPr>
  </w:style>
  <w:style w:type="paragraph" w:styleId="13">
    <w:name w:val="toc 1"/>
    <w:basedOn w:val="1"/>
    <w:next w:val="1"/>
    <w:unhideWhenUsed/>
    <w:qFormat/>
    <w:uiPriority w:val="39"/>
    <w:pPr>
      <w:tabs>
        <w:tab w:val="right" w:leader="dot" w:pos="10104"/>
      </w:tabs>
      <w:adjustRightInd/>
      <w:snapToGrid/>
      <w:spacing w:beforeLines="0" w:afterLines="0" w:line="240" w:lineRule="auto"/>
      <w:ind w:firstLine="560" w:firstLineChars="0"/>
    </w:pPr>
    <w:rPr>
      <w:sz w:val="28"/>
    </w:rPr>
  </w:style>
  <w:style w:type="paragraph" w:styleId="14">
    <w:name w:val="Subtitle"/>
    <w:basedOn w:val="1"/>
    <w:next w:val="1"/>
    <w:link w:val="41"/>
    <w:qFormat/>
    <w:uiPriority w:val="11"/>
    <w:pPr>
      <w:spacing w:beforeLines="0" w:afterLines="50" w:line="240" w:lineRule="auto"/>
      <w:ind w:firstLine="0" w:firstLineChars="0"/>
      <w:jc w:val="center"/>
      <w:outlineLvl w:val="1"/>
    </w:pPr>
    <w:rPr>
      <w:bCs/>
      <w:kern w:val="28"/>
      <w:sz w:val="44"/>
      <w:szCs w:val="32"/>
    </w:rPr>
  </w:style>
  <w:style w:type="paragraph" w:styleId="15">
    <w:name w:val="toc 2"/>
    <w:basedOn w:val="1"/>
    <w:next w:val="1"/>
    <w:unhideWhenUsed/>
    <w:qFormat/>
    <w:uiPriority w:val="39"/>
    <w:pPr>
      <w:tabs>
        <w:tab w:val="right" w:leader="dot" w:pos="10104"/>
      </w:tabs>
      <w:adjustRightInd/>
      <w:snapToGrid/>
      <w:spacing w:beforeLines="0" w:afterLines="0" w:line="240" w:lineRule="auto"/>
      <w:ind w:left="1050" w:leftChars="500" w:firstLine="0" w:firstLineChars="0"/>
    </w:pPr>
  </w:style>
  <w:style w:type="paragraph" w:styleId="16">
    <w:name w:val="Normal (Web)"/>
    <w:basedOn w:val="1"/>
    <w:unhideWhenUsed/>
    <w:qFormat/>
    <w:uiPriority w:val="99"/>
    <w:pPr>
      <w:widowControl/>
      <w:adjustRightInd/>
      <w:snapToGrid/>
      <w:spacing w:beforeLines="0" w:beforeAutospacing="1" w:afterLines="0" w:afterAutospacing="1" w:line="240" w:lineRule="auto"/>
      <w:ind w:firstLine="0" w:firstLineChars="0"/>
      <w:jc w:val="left"/>
    </w:pPr>
    <w:rPr>
      <w:rFonts w:ascii="宋体" w:hAnsi="宋体" w:eastAsia="宋体" w:cs="宋体"/>
      <w:kern w:val="0"/>
      <w:sz w:val="24"/>
      <w:szCs w:val="24"/>
    </w:rPr>
  </w:style>
  <w:style w:type="paragraph" w:styleId="17">
    <w:name w:val="Title"/>
    <w:basedOn w:val="1"/>
    <w:next w:val="1"/>
    <w:link w:val="40"/>
    <w:qFormat/>
    <w:uiPriority w:val="99"/>
    <w:pPr>
      <w:spacing w:afterLines="50" w:line="240" w:lineRule="auto"/>
      <w:ind w:firstLine="0" w:firstLineChars="0"/>
      <w:jc w:val="center"/>
      <w:outlineLvl w:val="0"/>
    </w:pPr>
    <w:rPr>
      <w:b/>
      <w:bCs/>
      <w:sz w:val="44"/>
      <w:szCs w:val="32"/>
    </w:rPr>
  </w:style>
  <w:style w:type="character" w:styleId="20">
    <w:name w:val="Emphasis"/>
    <w:basedOn w:val="19"/>
    <w:qFormat/>
    <w:uiPriority w:val="20"/>
    <w:rPr>
      <w:b/>
      <w:iCs/>
      <w:color w:val="D70029"/>
    </w:rPr>
  </w:style>
  <w:style w:type="character" w:styleId="21">
    <w:name w:val="Hyperlink"/>
    <w:basedOn w:val="19"/>
    <w:unhideWhenUsed/>
    <w:qFormat/>
    <w:uiPriority w:val="99"/>
    <w:rPr>
      <w:color w:val="0000FF"/>
      <w:u w:val="single"/>
    </w:rPr>
  </w:style>
  <w:style w:type="paragraph" w:customStyle="1" w:styleId="22">
    <w:name w:val="列出段落1"/>
    <w:basedOn w:val="1"/>
    <w:link w:val="44"/>
    <w:qFormat/>
    <w:uiPriority w:val="34"/>
    <w:pPr>
      <w:ind w:firstLine="420"/>
    </w:pPr>
  </w:style>
  <w:style w:type="paragraph" w:customStyle="1" w:styleId="23">
    <w:name w:val="正文数字列表"/>
    <w:basedOn w:val="22"/>
    <w:link w:val="45"/>
    <w:qFormat/>
    <w:uiPriority w:val="0"/>
    <w:pPr>
      <w:numPr>
        <w:ilvl w:val="0"/>
        <w:numId w:val="1"/>
      </w:numPr>
      <w:ind w:firstLine="0" w:firstLineChars="0"/>
    </w:pPr>
  </w:style>
  <w:style w:type="paragraph" w:customStyle="1" w:styleId="24">
    <w:name w:val="正文列表样式"/>
    <w:basedOn w:val="22"/>
    <w:link w:val="46"/>
    <w:qFormat/>
    <w:uiPriority w:val="0"/>
    <w:pPr>
      <w:numPr>
        <w:ilvl w:val="0"/>
        <w:numId w:val="2"/>
      </w:numPr>
      <w:spacing w:before="93" w:after="93"/>
      <w:ind w:left="840" w:leftChars="200" w:firstLine="0" w:firstLineChars="0"/>
    </w:pPr>
  </w:style>
  <w:style w:type="paragraph" w:customStyle="1" w:styleId="25">
    <w:name w:val="TOC 标题1"/>
    <w:basedOn w:val="3"/>
    <w:next w:val="1"/>
    <w:unhideWhenUsed/>
    <w:qFormat/>
    <w:uiPriority w:val="39"/>
    <w:pPr>
      <w:widowControl/>
      <w:adjustRightInd/>
      <w:snapToGrid/>
      <w:spacing w:before="480" w:afterLines="0" w:line="276" w:lineRule="auto"/>
      <w:jc w:val="left"/>
      <w:outlineLvl w:val="9"/>
    </w:pPr>
    <w:rPr>
      <w:b/>
      <w:color w:val="365F90"/>
      <w:kern w:val="0"/>
      <w:sz w:val="28"/>
      <w:szCs w:val="28"/>
    </w:rPr>
  </w:style>
  <w:style w:type="paragraph" w:customStyle="1" w:styleId="26">
    <w:name w:val="ht正文"/>
    <w:basedOn w:val="1"/>
    <w:link w:val="49"/>
    <w:qFormat/>
    <w:uiPriority w:val="0"/>
    <w:pPr>
      <w:adjustRightInd/>
      <w:snapToGrid/>
      <w:spacing w:before="93" w:after="93" w:line="360" w:lineRule="auto"/>
      <w:ind w:firstLine="480"/>
    </w:pPr>
    <w:rPr>
      <w:rFonts w:ascii="微软雅黑" w:hAnsi="微软雅黑" w:cs="Times New Roman"/>
      <w:bCs/>
      <w:iCs/>
      <w:sz w:val="24"/>
      <w:szCs w:val="24"/>
    </w:rPr>
  </w:style>
  <w:style w:type="paragraph" w:customStyle="1" w:styleId="27">
    <w:name w:val="标题1"/>
    <w:basedOn w:val="1"/>
    <w:qFormat/>
    <w:uiPriority w:val="0"/>
    <w:pPr>
      <w:numPr>
        <w:ilvl w:val="0"/>
        <w:numId w:val="3"/>
      </w:numPr>
      <w:adjustRightInd/>
      <w:snapToGrid/>
      <w:spacing w:beforeLines="0" w:afterLines="0" w:line="240" w:lineRule="auto"/>
      <w:ind w:firstLineChars="0"/>
    </w:pPr>
    <w:rPr>
      <w:rFonts w:ascii="Times New Roman" w:hAnsi="Times New Roman" w:eastAsia="黑体" w:cs="Times New Roman"/>
      <w:b/>
      <w:bCs/>
      <w:i/>
      <w:iCs/>
      <w:color w:val="800000"/>
      <w:sz w:val="48"/>
      <w:szCs w:val="36"/>
    </w:rPr>
  </w:style>
  <w:style w:type="paragraph" w:customStyle="1" w:styleId="28">
    <w:name w:val="title2"/>
    <w:basedOn w:val="1"/>
    <w:link w:val="50"/>
    <w:qFormat/>
    <w:uiPriority w:val="0"/>
    <w:pPr>
      <w:numPr>
        <w:ilvl w:val="1"/>
        <w:numId w:val="3"/>
      </w:numPr>
      <w:tabs>
        <w:tab w:val="left" w:pos="2280"/>
      </w:tabs>
      <w:adjustRightInd/>
      <w:snapToGrid/>
      <w:spacing w:beforeLines="50" w:afterLines="50" w:line="240" w:lineRule="auto"/>
      <w:ind w:firstLineChars="0"/>
    </w:pPr>
    <w:rPr>
      <w:rFonts w:ascii="黑体" w:hAnsi="MS PGothic" w:eastAsia="黑体" w:cs="Times New Roman"/>
      <w:b/>
      <w:bCs/>
      <w:i/>
      <w:iCs/>
      <w:color w:val="0000FF"/>
      <w:sz w:val="36"/>
      <w:szCs w:val="24"/>
      <w:lang w:eastAsia="ja-JP"/>
    </w:rPr>
  </w:style>
  <w:style w:type="paragraph" w:customStyle="1" w:styleId="29">
    <w:name w:val="title3"/>
    <w:basedOn w:val="1"/>
    <w:qFormat/>
    <w:uiPriority w:val="0"/>
    <w:pPr>
      <w:numPr>
        <w:ilvl w:val="2"/>
        <w:numId w:val="3"/>
      </w:numPr>
      <w:adjustRightInd/>
      <w:snapToGrid/>
      <w:spacing w:line="240" w:lineRule="auto"/>
      <w:ind w:firstLineChars="0"/>
    </w:pPr>
    <w:rPr>
      <w:rFonts w:ascii="MS PGothic" w:hAnsi="宋体" w:eastAsia="MS PGothic" w:cs="Times New Roman"/>
      <w:b/>
      <w:bCs/>
      <w:color w:val="0000FF"/>
      <w:sz w:val="24"/>
      <w:szCs w:val="24"/>
      <w:lang w:eastAsia="ja-JP"/>
    </w:rPr>
  </w:style>
  <w:style w:type="paragraph" w:customStyle="1" w:styleId="30">
    <w:name w:val="title4"/>
    <w:basedOn w:val="1"/>
    <w:qFormat/>
    <w:uiPriority w:val="0"/>
    <w:pPr>
      <w:numPr>
        <w:ilvl w:val="3"/>
        <w:numId w:val="3"/>
      </w:numPr>
      <w:adjustRightInd/>
      <w:snapToGrid/>
      <w:spacing w:beforeLines="0" w:afterLines="0" w:line="240" w:lineRule="auto"/>
      <w:ind w:firstLineChars="0"/>
    </w:pPr>
    <w:rPr>
      <w:rFonts w:eastAsia="幼圆" w:cs="Times New Roman"/>
      <w:color w:val="0000FF"/>
      <w:sz w:val="24"/>
      <w:szCs w:val="24"/>
    </w:rPr>
  </w:style>
  <w:style w:type="paragraph" w:customStyle="1" w:styleId="31">
    <w:name w:val="ht标题1"/>
    <w:basedOn w:val="1"/>
    <w:qFormat/>
    <w:uiPriority w:val="0"/>
    <w:pPr>
      <w:adjustRightInd/>
      <w:snapToGrid/>
      <w:spacing w:beforeLines="0" w:afterLines="50" w:line="240" w:lineRule="auto"/>
      <w:ind w:left="420" w:firstLine="0" w:firstLineChars="0"/>
      <w:jc w:val="left"/>
    </w:pPr>
    <w:rPr>
      <w:rFonts w:ascii="微软雅黑" w:hAnsi="微软雅黑" w:cs="Arial Unicode MS"/>
      <w:color w:val="FF4D10"/>
      <w:sz w:val="48"/>
      <w:szCs w:val="48"/>
    </w:rPr>
  </w:style>
  <w:style w:type="paragraph" w:customStyle="1" w:styleId="32">
    <w:name w:val="ht标题2"/>
    <w:basedOn w:val="28"/>
    <w:link w:val="51"/>
    <w:qFormat/>
    <w:uiPriority w:val="0"/>
    <w:pPr>
      <w:numPr>
        <w:ilvl w:val="0"/>
        <w:numId w:val="0"/>
      </w:numPr>
      <w:spacing w:before="50" w:after="50" w:line="360" w:lineRule="auto"/>
      <w:ind w:left="1697" w:hanging="420"/>
    </w:pPr>
    <w:rPr>
      <w:rFonts w:eastAsia="微软雅黑"/>
      <w:i w:val="0"/>
      <w:color w:val="auto"/>
      <w:sz w:val="32"/>
      <w:szCs w:val="32"/>
      <w:lang w:eastAsia="zh-CN"/>
    </w:rPr>
  </w:style>
  <w:style w:type="paragraph" w:customStyle="1" w:styleId="33">
    <w:name w:val="ht标题3"/>
    <w:basedOn w:val="29"/>
    <w:link w:val="52"/>
    <w:qFormat/>
    <w:uiPriority w:val="0"/>
    <w:pPr>
      <w:numPr>
        <w:ilvl w:val="0"/>
        <w:numId w:val="4"/>
      </w:numPr>
      <w:spacing w:before="30" w:after="30" w:line="360" w:lineRule="auto"/>
    </w:pPr>
    <w:rPr>
      <w:rFonts w:ascii="黑体" w:hAnsi="MS PGothic" w:eastAsia="微软雅黑"/>
      <w:iCs/>
      <w:color w:val="auto"/>
      <w:lang w:eastAsia="zh-CN"/>
    </w:rPr>
  </w:style>
  <w:style w:type="paragraph" w:customStyle="1" w:styleId="34">
    <w:name w:val="样式 正文文本 + 行距: 多倍行距 1.3 字行"/>
    <w:basedOn w:val="8"/>
    <w:qFormat/>
    <w:uiPriority w:val="0"/>
    <w:pPr>
      <w:spacing w:line="312" w:lineRule="auto"/>
    </w:pPr>
    <w:rPr>
      <w:rFonts w:ascii="宋体" w:hAnsi="宋体" w:eastAsia="宋体" w:cs="宋体"/>
      <w:szCs w:val="21"/>
    </w:rPr>
  </w:style>
  <w:style w:type="paragraph" w:customStyle="1" w:styleId="35">
    <w:name w:val="正文1"/>
    <w:qFormat/>
    <w:uiPriority w:val="0"/>
    <w:pPr>
      <w:jc w:val="both"/>
    </w:pPr>
    <w:rPr>
      <w:rFonts w:ascii="Arial" w:hAnsi="Arial" w:eastAsia="宋体" w:cs="Arial"/>
      <w:kern w:val="2"/>
      <w:sz w:val="21"/>
      <w:szCs w:val="21"/>
      <w:lang w:val="en-US" w:eastAsia="zh-CN" w:bidi="ar-SA"/>
    </w:rPr>
  </w:style>
  <w:style w:type="character" w:customStyle="1" w:styleId="36">
    <w:name w:val="批注框文本 Char"/>
    <w:basedOn w:val="19"/>
    <w:link w:val="10"/>
    <w:semiHidden/>
    <w:qFormat/>
    <w:uiPriority w:val="99"/>
    <w:rPr>
      <w:sz w:val="18"/>
      <w:szCs w:val="18"/>
    </w:rPr>
  </w:style>
  <w:style w:type="character" w:customStyle="1" w:styleId="37">
    <w:name w:val="页眉 Char"/>
    <w:basedOn w:val="19"/>
    <w:link w:val="12"/>
    <w:semiHidden/>
    <w:qFormat/>
    <w:uiPriority w:val="99"/>
    <w:rPr>
      <w:sz w:val="18"/>
      <w:szCs w:val="18"/>
    </w:rPr>
  </w:style>
  <w:style w:type="character" w:customStyle="1" w:styleId="38">
    <w:name w:val="页脚 Char"/>
    <w:basedOn w:val="19"/>
    <w:link w:val="11"/>
    <w:qFormat/>
    <w:uiPriority w:val="0"/>
    <w:rPr>
      <w:sz w:val="18"/>
      <w:szCs w:val="18"/>
    </w:rPr>
  </w:style>
  <w:style w:type="character" w:customStyle="1" w:styleId="39">
    <w:name w:val="书籍标题1"/>
    <w:basedOn w:val="19"/>
    <w:qFormat/>
    <w:uiPriority w:val="33"/>
    <w:rPr>
      <w:b/>
      <w:bCs/>
      <w:smallCaps/>
      <w:spacing w:val="5"/>
    </w:rPr>
  </w:style>
  <w:style w:type="character" w:customStyle="1" w:styleId="40">
    <w:name w:val="标题 Char"/>
    <w:basedOn w:val="19"/>
    <w:link w:val="17"/>
    <w:qFormat/>
    <w:uiPriority w:val="99"/>
    <w:rPr>
      <w:rFonts w:ascii="Arial" w:hAnsi="Arial" w:eastAsia="微软雅黑" w:cs="黑体"/>
      <w:b/>
      <w:bCs/>
      <w:sz w:val="44"/>
      <w:szCs w:val="32"/>
    </w:rPr>
  </w:style>
  <w:style w:type="character" w:customStyle="1" w:styleId="41">
    <w:name w:val="副标题 Char"/>
    <w:basedOn w:val="19"/>
    <w:link w:val="14"/>
    <w:qFormat/>
    <w:uiPriority w:val="11"/>
    <w:rPr>
      <w:rFonts w:ascii="Arial" w:hAnsi="Arial" w:eastAsia="微软雅黑" w:cs="黑体"/>
      <w:bCs/>
      <w:kern w:val="28"/>
      <w:sz w:val="44"/>
      <w:szCs w:val="32"/>
    </w:rPr>
  </w:style>
  <w:style w:type="character" w:customStyle="1" w:styleId="42">
    <w:name w:val="标题 1 Char"/>
    <w:basedOn w:val="19"/>
    <w:link w:val="3"/>
    <w:qFormat/>
    <w:uiPriority w:val="9"/>
    <w:rPr>
      <w:rFonts w:ascii="Arial" w:hAnsi="Arial" w:eastAsia="微软雅黑" w:cs="黑体"/>
      <w:bCs/>
      <w:kern w:val="44"/>
      <w:sz w:val="36"/>
      <w:szCs w:val="44"/>
    </w:rPr>
  </w:style>
  <w:style w:type="character" w:customStyle="1" w:styleId="43">
    <w:name w:val="标题 2 Char"/>
    <w:basedOn w:val="19"/>
    <w:link w:val="4"/>
    <w:qFormat/>
    <w:uiPriority w:val="9"/>
    <w:rPr>
      <w:rFonts w:ascii="Arial" w:hAnsi="Arial" w:eastAsia="微软雅黑" w:cs="黑体"/>
      <w:b/>
      <w:bCs/>
      <w:kern w:val="2"/>
      <w:sz w:val="32"/>
      <w:szCs w:val="32"/>
    </w:rPr>
  </w:style>
  <w:style w:type="character" w:customStyle="1" w:styleId="44">
    <w:name w:val="列出段落 Char"/>
    <w:basedOn w:val="19"/>
    <w:link w:val="22"/>
    <w:qFormat/>
    <w:uiPriority w:val="34"/>
    <w:rPr>
      <w:rFonts w:ascii="Arial" w:hAnsi="Arial" w:eastAsia="微软雅黑"/>
    </w:rPr>
  </w:style>
  <w:style w:type="character" w:customStyle="1" w:styleId="45">
    <w:name w:val="正文数字列表 Char"/>
    <w:basedOn w:val="44"/>
    <w:link w:val="23"/>
    <w:qFormat/>
    <w:uiPriority w:val="0"/>
    <w:rPr>
      <w:rFonts w:ascii="Arial" w:hAnsi="Arial" w:eastAsia="微软雅黑"/>
    </w:rPr>
  </w:style>
  <w:style w:type="character" w:customStyle="1" w:styleId="46">
    <w:name w:val="正文列表样式 Char"/>
    <w:basedOn w:val="44"/>
    <w:link w:val="24"/>
    <w:qFormat/>
    <w:uiPriority w:val="0"/>
    <w:rPr>
      <w:rFonts w:ascii="Arial" w:hAnsi="Arial" w:eastAsia="微软雅黑"/>
    </w:rPr>
  </w:style>
  <w:style w:type="character" w:customStyle="1" w:styleId="47">
    <w:name w:val="文档结构图 Char"/>
    <w:basedOn w:val="19"/>
    <w:link w:val="7"/>
    <w:semiHidden/>
    <w:qFormat/>
    <w:uiPriority w:val="99"/>
    <w:rPr>
      <w:rFonts w:ascii="宋体" w:hAnsi="Arial" w:eastAsia="宋体"/>
      <w:sz w:val="18"/>
      <w:szCs w:val="18"/>
    </w:rPr>
  </w:style>
  <w:style w:type="character" w:customStyle="1" w:styleId="48">
    <w:name w:val="标题 3 Char"/>
    <w:basedOn w:val="19"/>
    <w:link w:val="5"/>
    <w:qFormat/>
    <w:uiPriority w:val="9"/>
    <w:rPr>
      <w:rFonts w:ascii="Arial" w:hAnsi="Arial" w:eastAsia="微软雅黑" w:cs="黑体"/>
      <w:b/>
      <w:bCs/>
      <w:kern w:val="2"/>
      <w:sz w:val="22"/>
      <w:szCs w:val="32"/>
    </w:rPr>
  </w:style>
  <w:style w:type="character" w:customStyle="1" w:styleId="49">
    <w:name w:val="ht正文 Char"/>
    <w:basedOn w:val="19"/>
    <w:link w:val="26"/>
    <w:qFormat/>
    <w:uiPriority w:val="0"/>
    <w:rPr>
      <w:rFonts w:ascii="微软雅黑" w:hAnsi="微软雅黑" w:eastAsia="微软雅黑" w:cs="Times New Roman"/>
      <w:bCs/>
      <w:iCs/>
      <w:sz w:val="24"/>
      <w:szCs w:val="24"/>
    </w:rPr>
  </w:style>
  <w:style w:type="character" w:customStyle="1" w:styleId="50">
    <w:name w:val="title2 Char"/>
    <w:basedOn w:val="19"/>
    <w:link w:val="28"/>
    <w:qFormat/>
    <w:uiPriority w:val="0"/>
    <w:rPr>
      <w:rFonts w:ascii="黑体" w:hAnsi="MS PGothic" w:eastAsia="黑体" w:cs="Times New Roman"/>
      <w:b/>
      <w:bCs/>
      <w:i/>
      <w:iCs/>
      <w:color w:val="0000FF"/>
      <w:sz w:val="36"/>
      <w:szCs w:val="24"/>
      <w:lang w:eastAsia="ja-JP"/>
    </w:rPr>
  </w:style>
  <w:style w:type="character" w:customStyle="1" w:styleId="51">
    <w:name w:val="ht标题2 Char"/>
    <w:basedOn w:val="50"/>
    <w:link w:val="32"/>
    <w:qFormat/>
    <w:uiPriority w:val="0"/>
    <w:rPr>
      <w:rFonts w:ascii="黑体" w:hAnsi="MS PGothic" w:eastAsia="微软雅黑" w:cs="Times New Roman"/>
      <w:i w:val="0"/>
      <w:color w:val="0000FF"/>
      <w:kern w:val="2"/>
      <w:sz w:val="32"/>
      <w:szCs w:val="32"/>
      <w:lang w:eastAsia="ja-JP"/>
    </w:rPr>
  </w:style>
  <w:style w:type="character" w:customStyle="1" w:styleId="52">
    <w:name w:val="ht标题3 Char"/>
    <w:basedOn w:val="19"/>
    <w:link w:val="33"/>
    <w:qFormat/>
    <w:uiPriority w:val="0"/>
    <w:rPr>
      <w:rFonts w:ascii="黑体" w:hAnsi="MS PGothic" w:eastAsia="微软雅黑" w:cs="Times New Roman"/>
      <w:b/>
      <w:bCs/>
      <w:iCs/>
      <w:sz w:val="24"/>
      <w:szCs w:val="24"/>
    </w:rPr>
  </w:style>
  <w:style w:type="character" w:customStyle="1" w:styleId="53">
    <w:name w:val="标题 4 Char"/>
    <w:basedOn w:val="19"/>
    <w:link w:val="6"/>
    <w:qFormat/>
    <w:uiPriority w:val="9"/>
    <w:rPr>
      <w:rFonts w:ascii="Arial" w:hAnsi="Arial" w:eastAsia="微软雅黑" w:cs="黑体"/>
      <w:b/>
      <w:bCs/>
      <w:sz w:val="28"/>
      <w:szCs w:val="28"/>
    </w:rPr>
  </w:style>
  <w:style w:type="character" w:customStyle="1" w:styleId="54">
    <w:name w:val="正文文本 Char"/>
    <w:basedOn w:val="19"/>
    <w:link w:val="8"/>
    <w:qFormat/>
    <w:uiPriority w:val="0"/>
    <w:rPr>
      <w:rFonts w:ascii="Arial" w:hAnsi="Arial" w:eastAsia="幼圆" w:cs="Arial"/>
      <w:kern w:val="0"/>
      <w:szCs w:val="20"/>
    </w:rPr>
  </w:style>
  <w:style w:type="character" w:customStyle="1" w:styleId="55">
    <w:name w:val="span_style_for_trace"/>
    <w:basedOn w:val="19"/>
    <w:qFormat/>
    <w:uiPriority w:val="0"/>
  </w:style>
  <w:style w:type="character" w:customStyle="1" w:styleId="56">
    <w:name w:val="pagehead"/>
    <w:basedOn w:val="19"/>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8" Type="http://schemas.openxmlformats.org/officeDocument/2006/relationships/fontTable" Target="fontTable.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1.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pn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endnotes" Target="endnotes.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theme" Target="theme/theme1.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01%20&#27599;&#26085;&#24037;&#20316;&#22791;&#20221;\20%20&#21326;&#22825;&#21160;&#21147;VI.3.0\&#25991;&#26723;&#27169;&#26495;\&#38271;&#25991;&#26723;&#27169;&#26495;v3.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0"/>
    <customShpInfo spid="_x0000_s1031"/>
    <customShpInfo spid="_x0000_s1027"/>
    <customShpInfo spid="_x0000_s1032"/>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长文档模板v3.2.dotx</Template>
  <Company>Microsoft</Company>
  <Pages>30</Pages>
  <Words>5595</Words>
  <Characters>5931</Characters>
  <Lines>52</Lines>
  <Paragraphs>14</Paragraphs>
  <TotalTime>0</TotalTime>
  <ScaleCrop>false</ScaleCrop>
  <LinksUpToDate>false</LinksUpToDate>
  <CharactersWithSpaces>5973</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2017-12-07T02:10:00Z</dcterms:created>
  <dc:creator>开发部01</dc:creator>
  <cp:lastModifiedBy>黄山</cp:lastModifiedBy>
  <cp:lastPrinted>2016-08-05T09:46:00Z</cp:lastPrinted>
  <dcterms:modified xsi:type="dcterms:W3CDTF">2026-09-10T03:10:05Z</dcterms:modified>
  <dc:title>华天动力协同OA系统</dc:title>
  <cp:revision>64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8B610FC0752E4BDF84709DB4E53D188C</vt:lpwstr>
  </property>
  <property fmtid="{D5CDD505-2E9C-101B-9397-08002B2CF9AE}" pid="4" name="KSOTemplateDocerSaveRecord">
    <vt:lpwstr>eyJoZGlkIjoiMTFlNmRiNjU0NzQ4NmJjYjRiNTIwNzgyZjJjOTEyMDciLCJ1c2VySWQiOiIxNDE2MjMzMjMwIn0=</vt:lpwstr>
  </property>
</Properties>
</file>