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line="240" w:lineRule="auto"/>
        <w:ind w:firstLine="0" w:firstLineChars="0"/>
        <w:rPr>
          <w:rFonts w:ascii="黑体" w:eastAsia="黑体"/>
          <w:sz w:val="72"/>
          <w:szCs w:val="72"/>
          <w:u w:val="single"/>
        </w:rPr>
      </w:pPr>
    </w:p>
    <w:p>
      <w:pPr>
        <w:spacing w:beforeLines="0" w:afterLines="0" w:line="240" w:lineRule="auto"/>
        <w:ind w:firstLine="0" w:firstLineChars="0"/>
        <w:rPr>
          <w:rFonts w:ascii="黑体" w:eastAsia="黑体"/>
          <w:sz w:val="72"/>
          <w:szCs w:val="72"/>
          <w:u w:val="single"/>
        </w:rPr>
      </w:pPr>
    </w:p>
    <w:p>
      <w:pPr>
        <w:spacing w:beforeLines="0" w:afterLines="0" w:line="240" w:lineRule="auto"/>
        <w:ind w:firstLine="0" w:firstLineChars="0"/>
        <w:jc w:val="center"/>
        <w:rPr>
          <w:rFonts w:ascii="黑体" w:eastAsia="黑体"/>
          <w:sz w:val="72"/>
          <w:szCs w:val="72"/>
        </w:rPr>
      </w:pPr>
    </w:p>
    <w:p>
      <w:pPr>
        <w:spacing w:beforeLines="0" w:afterLines="0" w:line="240" w:lineRule="auto"/>
        <w:ind w:firstLine="0" w:firstLineChars="0"/>
        <w:jc w:val="center"/>
        <w:rPr>
          <w:rFonts w:hint="eastAsia"/>
          <w:sz w:val="72"/>
          <w:szCs w:val="72"/>
          <w:lang w:val="en-US" w:eastAsia="zh-CN"/>
        </w:rPr>
      </w:pPr>
      <w:r>
        <w:rPr>
          <w:rFonts w:hint="eastAsia"/>
          <w:sz w:val="72"/>
          <w:szCs w:val="72"/>
        </w:rPr>
        <w:t>华天动力</w:t>
      </w:r>
      <w:r>
        <w:rPr>
          <w:rFonts w:hint="eastAsia"/>
          <w:sz w:val="72"/>
          <w:szCs w:val="72"/>
          <w:lang w:val="en-US" w:eastAsia="zh-CN"/>
        </w:rPr>
        <w:t>智慧流程与审批</w:t>
      </w:r>
    </w:p>
    <w:p>
      <w:pPr>
        <w:spacing w:beforeLines="0" w:afterLines="0" w:line="240" w:lineRule="auto"/>
        <w:ind w:firstLine="0" w:firstLineChars="0"/>
        <w:jc w:val="center"/>
        <w:rPr>
          <w:rFonts w:hAnsi="微软雅黑"/>
          <w:sz w:val="72"/>
          <w:szCs w:val="72"/>
        </w:rPr>
      </w:pPr>
      <w:r>
        <w:rPr>
          <w:rFonts w:hint="eastAsia"/>
          <w:sz w:val="72"/>
          <w:szCs w:val="72"/>
          <w:lang w:val="en-US" w:eastAsia="zh-CN"/>
        </w:rPr>
        <w:t>管理平台</w:t>
      </w:r>
    </w:p>
    <w:p>
      <w:pPr>
        <w:spacing w:beforeLines="0" w:afterLines="0" w:line="240" w:lineRule="auto"/>
        <w:ind w:firstLine="0" w:firstLineChars="0"/>
        <w:jc w:val="center"/>
        <w:rPr>
          <w:sz w:val="44"/>
          <w:szCs w:val="44"/>
        </w:rPr>
      </w:pPr>
    </w:p>
    <w:p>
      <w:pPr>
        <w:spacing w:before="93" w:after="93"/>
        <w:ind w:firstLine="0" w:firstLineChars="0"/>
        <w:jc w:val="center"/>
        <w:rPr>
          <w:sz w:val="56"/>
          <w:szCs w:val="48"/>
        </w:rPr>
      </w:pPr>
      <w:r>
        <w:rPr>
          <w:sz w:val="56"/>
          <w:szCs w:val="48"/>
        </w:rPr>
        <w:t>——Office Automation——</w:t>
      </w:r>
    </w:p>
    <w:p>
      <w:pPr>
        <w:spacing w:before="93" w:after="93"/>
        <w:ind w:firstLine="0" w:firstLineChars="0"/>
        <w:jc w:val="center"/>
        <w:rPr>
          <w:sz w:val="56"/>
          <w:szCs w:val="48"/>
        </w:rPr>
      </w:pPr>
    </w:p>
    <w:p>
      <w:pPr>
        <w:spacing w:beforeLines="0" w:afterLines="0" w:line="240" w:lineRule="auto"/>
        <w:ind w:firstLine="0" w:firstLineChars="0"/>
        <w:jc w:val="center"/>
        <w:outlineLvl w:val="0"/>
        <w:rPr>
          <w:rFonts w:eastAsia="黑体" w:asciiTheme="majorHAnsi" w:hAnsiTheme="majorHAnsi" w:cstheme="majorHAnsi"/>
          <w:sz w:val="44"/>
          <w:szCs w:val="48"/>
        </w:rPr>
      </w:pPr>
      <w:r>
        <w:rPr>
          <w:rFonts w:hint="eastAsia"/>
          <w:sz w:val="56"/>
          <w:szCs w:val="72"/>
        </w:rPr>
        <w:t>技术白皮书</w:t>
      </w:r>
    </w:p>
    <w:p>
      <w:pPr>
        <w:pStyle w:val="17"/>
        <w:spacing w:before="93" w:after="156"/>
        <w:rPr>
          <w:rFonts w:hint="default"/>
          <w:lang w:val="en-US"/>
        </w:rPr>
      </w:pPr>
      <w:r>
        <w:rPr>
          <w:rFonts w:hint="eastAsia"/>
          <w:lang w:val="en-US" w:eastAsia="zh-CN"/>
        </w:rPr>
        <w:t>工作流引擎</w:t>
      </w:r>
    </w:p>
    <w:p>
      <w:pPr>
        <w:spacing w:beforeLines="0" w:afterLines="0" w:line="240" w:lineRule="auto"/>
        <w:ind w:firstLine="0" w:firstLineChars="0"/>
        <w:jc w:val="center"/>
        <w:rPr>
          <w:rFonts w:ascii="黑体" w:eastAsia="黑体"/>
          <w:sz w:val="52"/>
          <w:szCs w:val="52"/>
        </w:rPr>
      </w:pPr>
    </w:p>
    <w:p>
      <w:pPr>
        <w:spacing w:beforeLines="0" w:afterLines="0" w:line="240" w:lineRule="auto"/>
        <w:ind w:firstLine="0" w:firstLineChars="0"/>
        <w:rPr>
          <w:rFonts w:ascii="黑体" w:eastAsia="黑体"/>
          <w:sz w:val="52"/>
          <w:szCs w:val="52"/>
        </w:rPr>
      </w:pPr>
    </w:p>
    <w:p>
      <w:pPr>
        <w:spacing w:beforeLines="0" w:afterLines="0" w:line="240" w:lineRule="auto"/>
        <w:ind w:firstLine="0" w:firstLineChars="0"/>
        <w:rPr>
          <w:rFonts w:ascii="黑体" w:eastAsia="黑体"/>
          <w:sz w:val="52"/>
          <w:szCs w:val="52"/>
        </w:rPr>
      </w:pPr>
    </w:p>
    <w:p>
      <w:pPr>
        <w:spacing w:beforeLines="0" w:afterLines="0" w:line="240" w:lineRule="auto"/>
        <w:ind w:firstLine="0" w:firstLineChars="0"/>
        <w:rPr>
          <w:rFonts w:ascii="黑体" w:eastAsia="黑体"/>
          <w:sz w:val="52"/>
          <w:szCs w:val="52"/>
        </w:rPr>
      </w:pPr>
    </w:p>
    <w:p>
      <w:pPr>
        <w:spacing w:beforeLines="0" w:afterLines="0" w:line="240" w:lineRule="auto"/>
        <w:ind w:firstLine="0" w:firstLineChars="0"/>
        <w:jc w:val="center"/>
        <w:rPr>
          <w:rFonts w:ascii="黑体" w:eastAsia="黑体"/>
          <w:sz w:val="28"/>
          <w:szCs w:val="52"/>
        </w:rPr>
      </w:pPr>
      <w:r>
        <w:rPr>
          <w:rFonts w:hint="eastAsia" w:asciiTheme="minorEastAsia" w:hAnsiTheme="minorEastAsia" w:eastAsiaTheme="minorEastAsia"/>
          <w:sz w:val="28"/>
          <w:szCs w:val="52"/>
        </w:rPr>
        <w:t>大连华天软件有限公司</w:t>
      </w:r>
      <w:r>
        <w:rPr>
          <w:rFonts w:ascii="黑体" w:eastAsia="黑体"/>
          <w:sz w:val="28"/>
          <w:szCs w:val="52"/>
        </w:rPr>
        <w:br w:type="page"/>
      </w:r>
    </w:p>
    <w:p>
      <w:pPr>
        <w:widowControl/>
        <w:spacing w:before="93" w:after="93"/>
        <w:ind w:firstLine="1040"/>
        <w:jc w:val="left"/>
        <w:rPr>
          <w:rFonts w:ascii="黑体" w:eastAsia="黑体"/>
          <w:sz w:val="52"/>
          <w:szCs w:val="52"/>
        </w:rPr>
        <w:sectPr>
          <w:headerReference r:id="rId5" w:type="first"/>
          <w:footerReference r:id="rId8" w:type="first"/>
          <w:headerReference r:id="rId3" w:type="default"/>
          <w:footerReference r:id="rId6" w:type="default"/>
          <w:headerReference r:id="rId4" w:type="even"/>
          <w:footerReference r:id="rId7" w:type="even"/>
          <w:pgSz w:w="11906" w:h="16838"/>
          <w:pgMar w:top="1559" w:right="896" w:bottom="777" w:left="896" w:header="851" w:footer="992" w:gutter="0"/>
          <w:pgNumType w:start="1"/>
          <w:cols w:space="425" w:num="1"/>
          <w:docGrid w:type="lines" w:linePitch="312" w:charSpace="0"/>
        </w:sectPr>
      </w:pPr>
    </w:p>
    <w:p>
      <w:pPr>
        <w:widowControl/>
        <w:adjustRightInd/>
        <w:snapToGrid/>
        <w:spacing w:beforeLines="0" w:afterLines="0" w:line="240" w:lineRule="auto"/>
        <w:ind w:firstLine="0" w:firstLineChars="0"/>
        <w:jc w:val="left"/>
      </w:pPr>
      <w:r>
        <w:rPr>
          <w:rFonts w:hint="eastAsia"/>
        </w:rPr>
        <w:drawing>
          <wp:inline distT="0" distB="0" distL="0" distR="0">
            <wp:extent cx="6408420" cy="883920"/>
            <wp:effectExtent l="0" t="0" r="0" b="0"/>
            <wp:docPr id="3" name="图片 8" descr="main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descr="main002"/>
                    <pic:cNvPicPr>
                      <a:picLocks noChangeAspect="1" noChangeArrowheads="1"/>
                    </pic:cNvPicPr>
                  </pic:nvPicPr>
                  <pic:blipFill>
                    <a:blip r:embed="rId17" cstate="print"/>
                    <a:srcRect b="42545"/>
                    <a:stretch>
                      <a:fillRect/>
                    </a:stretch>
                  </pic:blipFill>
                  <pic:spPr>
                    <a:xfrm>
                      <a:off x="0" y="0"/>
                      <a:ext cx="6408420" cy="884377"/>
                    </a:xfrm>
                    <a:prstGeom prst="rect">
                      <a:avLst/>
                    </a:prstGeom>
                    <a:noFill/>
                    <a:ln w="9525">
                      <a:noFill/>
                      <a:miter lim="800000"/>
                      <a:headEnd/>
                      <a:tailEnd/>
                    </a:ln>
                  </pic:spPr>
                </pic:pic>
              </a:graphicData>
            </a:graphic>
          </wp:inline>
        </w:drawing>
      </w:r>
    </w:p>
    <w:p>
      <w:pPr>
        <w:pStyle w:val="14"/>
        <w:spacing w:after="156"/>
      </w:pPr>
      <w:bookmarkStart w:id="0" w:name="_Toc249180409"/>
      <w:bookmarkStart w:id="1" w:name="_Toc248823006"/>
      <w:r>
        <w:rPr>
          <w:rFonts w:hint="eastAsia"/>
        </w:rPr>
        <w:t>目录</w:t>
      </w:r>
      <w:bookmarkEnd w:id="0"/>
      <w:bookmarkEnd w:id="1"/>
    </w:p>
    <w:p>
      <w:pPr>
        <w:pStyle w:val="13"/>
        <w:tabs>
          <w:tab w:val="right" w:leader="dot" w:pos="10114"/>
          <w:tab w:val="clear" w:pos="10104"/>
        </w:tabs>
      </w:pPr>
      <w:r>
        <w:fldChar w:fldCharType="begin"/>
      </w:r>
      <w:r>
        <w:instrText xml:space="preserve"> TOC \o "3-3" \h \z \t "标题 1,1,标题 2,2" </w:instrText>
      </w:r>
      <w:r>
        <w:fldChar w:fldCharType="separate"/>
      </w:r>
      <w:r>
        <w:fldChar w:fldCharType="begin"/>
      </w:r>
      <w:r>
        <w:instrText xml:space="preserve"> HYPERLINK \l _Toc19598 </w:instrText>
      </w:r>
      <w:r>
        <w:fldChar w:fldCharType="separate"/>
      </w:r>
      <w:r>
        <w:rPr>
          <w:rFonts w:hint="eastAsia"/>
        </w:rPr>
        <w:t xml:space="preserve">PART1 </w:t>
      </w:r>
      <w:r>
        <w:rPr>
          <w:rFonts w:hint="eastAsia" w:eastAsia="微软雅黑"/>
          <w:bCs w:val="0"/>
        </w:rPr>
        <w:t>研发目的</w:t>
      </w:r>
      <w:r>
        <w:tab/>
      </w:r>
      <w:r>
        <w:fldChar w:fldCharType="begin"/>
      </w:r>
      <w:r>
        <w:instrText xml:space="preserve"> PAGEREF _Toc19598 \h </w:instrText>
      </w:r>
      <w:r>
        <w:fldChar w:fldCharType="separate"/>
      </w:r>
      <w:r>
        <w:t>1</w:t>
      </w:r>
      <w:r>
        <w:fldChar w:fldCharType="end"/>
      </w:r>
      <w:r>
        <w:fldChar w:fldCharType="end"/>
      </w:r>
    </w:p>
    <w:p>
      <w:pPr>
        <w:pStyle w:val="15"/>
        <w:tabs>
          <w:tab w:val="right" w:leader="dot" w:pos="10114"/>
          <w:tab w:val="clear" w:pos="10104"/>
        </w:tabs>
      </w:pPr>
      <w:r>
        <w:fldChar w:fldCharType="begin"/>
      </w:r>
      <w:r>
        <w:instrText xml:space="preserve"> HYPERLINK \l _Toc11484 </w:instrText>
      </w:r>
      <w:r>
        <w:fldChar w:fldCharType="separate"/>
      </w:r>
      <w:r>
        <w:rPr>
          <w:rFonts w:hint="eastAsia"/>
        </w:rPr>
        <w:t>1.1 使用场景</w:t>
      </w:r>
      <w:r>
        <w:tab/>
      </w:r>
      <w:r>
        <w:fldChar w:fldCharType="begin"/>
      </w:r>
      <w:r>
        <w:instrText xml:space="preserve"> PAGEREF _Toc11484 \h </w:instrText>
      </w:r>
      <w:r>
        <w:fldChar w:fldCharType="separate"/>
      </w:r>
      <w:r>
        <w:t>1</w:t>
      </w:r>
      <w:r>
        <w:fldChar w:fldCharType="end"/>
      </w:r>
      <w:r>
        <w:fldChar w:fldCharType="end"/>
      </w:r>
    </w:p>
    <w:p>
      <w:pPr>
        <w:pStyle w:val="15"/>
        <w:tabs>
          <w:tab w:val="right" w:leader="dot" w:pos="10114"/>
          <w:tab w:val="clear" w:pos="10104"/>
        </w:tabs>
      </w:pPr>
      <w:r>
        <w:fldChar w:fldCharType="begin"/>
      </w:r>
      <w:r>
        <w:instrText xml:space="preserve"> HYPERLINK \l _Toc9430 </w:instrText>
      </w:r>
      <w:r>
        <w:fldChar w:fldCharType="separate"/>
      </w:r>
      <w:r>
        <w:rPr>
          <w:rFonts w:hint="eastAsia"/>
        </w:rPr>
        <w:t>1.2 常见问题</w:t>
      </w:r>
      <w:r>
        <w:tab/>
      </w:r>
      <w:r>
        <w:fldChar w:fldCharType="begin"/>
      </w:r>
      <w:r>
        <w:instrText xml:space="preserve"> PAGEREF _Toc9430 \h </w:instrText>
      </w:r>
      <w:r>
        <w:fldChar w:fldCharType="separate"/>
      </w:r>
      <w:r>
        <w:t>4</w:t>
      </w:r>
      <w:r>
        <w:fldChar w:fldCharType="end"/>
      </w:r>
      <w:r>
        <w:fldChar w:fldCharType="end"/>
      </w:r>
    </w:p>
    <w:p>
      <w:pPr>
        <w:pStyle w:val="13"/>
        <w:tabs>
          <w:tab w:val="right" w:leader="dot" w:pos="10114"/>
          <w:tab w:val="clear" w:pos="10104"/>
        </w:tabs>
      </w:pPr>
      <w:r>
        <w:fldChar w:fldCharType="begin"/>
      </w:r>
      <w:r>
        <w:instrText xml:space="preserve"> HYPERLINK \l _Toc3243 </w:instrText>
      </w:r>
      <w:r>
        <w:fldChar w:fldCharType="separate"/>
      </w:r>
      <w:r>
        <w:rPr>
          <w:rFonts w:hint="eastAsia"/>
        </w:rPr>
        <w:t>PART2 于</w:t>
      </w:r>
      <w:r>
        <w:rPr>
          <w:rFonts w:hint="eastAsia" w:eastAsia="微软雅黑"/>
          <w:bCs w:val="0"/>
        </w:rPr>
        <w:t>高效</w:t>
      </w:r>
      <w:r>
        <w:rPr>
          <w:rFonts w:hint="eastAsia"/>
        </w:rPr>
        <w:t>组织管理的价值</w:t>
      </w:r>
      <w:r>
        <w:tab/>
      </w:r>
      <w:r>
        <w:fldChar w:fldCharType="begin"/>
      </w:r>
      <w:r>
        <w:instrText xml:space="preserve"> PAGEREF _Toc3243 \h </w:instrText>
      </w:r>
      <w:r>
        <w:fldChar w:fldCharType="separate"/>
      </w:r>
      <w:r>
        <w:t>5</w:t>
      </w:r>
      <w:r>
        <w:fldChar w:fldCharType="end"/>
      </w:r>
      <w:r>
        <w:fldChar w:fldCharType="end"/>
      </w:r>
    </w:p>
    <w:p>
      <w:pPr>
        <w:pStyle w:val="13"/>
        <w:tabs>
          <w:tab w:val="right" w:leader="dot" w:pos="10114"/>
          <w:tab w:val="clear" w:pos="10104"/>
        </w:tabs>
      </w:pPr>
      <w:r>
        <w:fldChar w:fldCharType="begin"/>
      </w:r>
      <w:r>
        <w:instrText xml:space="preserve"> HYPERLINK \l _Toc22158 </w:instrText>
      </w:r>
      <w:r>
        <w:fldChar w:fldCharType="separate"/>
      </w:r>
      <w:r>
        <w:rPr>
          <w:rFonts w:hint="eastAsia"/>
        </w:rPr>
        <w:t>PART3 与众不同</w:t>
      </w:r>
      <w:r>
        <w:tab/>
      </w:r>
      <w:r>
        <w:fldChar w:fldCharType="begin"/>
      </w:r>
      <w:r>
        <w:instrText xml:space="preserve"> PAGEREF _Toc22158 \h </w:instrText>
      </w:r>
      <w:r>
        <w:fldChar w:fldCharType="separate"/>
      </w:r>
      <w:r>
        <w:t>8</w:t>
      </w:r>
      <w:r>
        <w:fldChar w:fldCharType="end"/>
      </w:r>
      <w:r>
        <w:fldChar w:fldCharType="end"/>
      </w:r>
    </w:p>
    <w:p>
      <w:pPr>
        <w:pStyle w:val="15"/>
        <w:tabs>
          <w:tab w:val="right" w:leader="dot" w:pos="10114"/>
          <w:tab w:val="clear" w:pos="10104"/>
        </w:tabs>
      </w:pPr>
      <w:r>
        <w:fldChar w:fldCharType="begin"/>
      </w:r>
      <w:r>
        <w:instrText xml:space="preserve"> HYPERLINK \l _Toc25260 </w:instrText>
      </w:r>
      <w:r>
        <w:fldChar w:fldCharType="separate"/>
      </w:r>
      <w:r>
        <w:rPr>
          <w:rFonts w:hint="eastAsia"/>
        </w:rPr>
        <w:t>3.1 特点与优势</w:t>
      </w:r>
      <w:r>
        <w:tab/>
      </w:r>
      <w:r>
        <w:fldChar w:fldCharType="begin"/>
      </w:r>
      <w:r>
        <w:instrText xml:space="preserve"> PAGEREF _Toc25260 \h </w:instrText>
      </w:r>
      <w:r>
        <w:fldChar w:fldCharType="separate"/>
      </w:r>
      <w:r>
        <w:t>8</w:t>
      </w:r>
      <w:r>
        <w:fldChar w:fldCharType="end"/>
      </w:r>
      <w:r>
        <w:fldChar w:fldCharType="end"/>
      </w:r>
    </w:p>
    <w:p>
      <w:pPr>
        <w:pStyle w:val="15"/>
        <w:tabs>
          <w:tab w:val="right" w:leader="dot" w:pos="10114"/>
          <w:tab w:val="clear" w:pos="10104"/>
        </w:tabs>
      </w:pPr>
      <w:r>
        <w:fldChar w:fldCharType="begin"/>
      </w:r>
      <w:r>
        <w:instrText xml:space="preserve"> HYPERLINK \l _Toc30508 </w:instrText>
      </w:r>
      <w:r>
        <w:fldChar w:fldCharType="separate"/>
      </w:r>
      <w:r>
        <w:rPr>
          <w:rFonts w:hint="eastAsia"/>
        </w:rPr>
        <w:t>3.2 与其他模块的联系</w:t>
      </w:r>
      <w:r>
        <w:tab/>
      </w:r>
      <w:r>
        <w:fldChar w:fldCharType="begin"/>
      </w:r>
      <w:r>
        <w:instrText xml:space="preserve"> PAGEREF _Toc30508 \h </w:instrText>
      </w:r>
      <w:r>
        <w:fldChar w:fldCharType="separate"/>
      </w:r>
      <w:r>
        <w:t>10</w:t>
      </w:r>
      <w:r>
        <w:fldChar w:fldCharType="end"/>
      </w:r>
      <w:r>
        <w:fldChar w:fldCharType="end"/>
      </w:r>
    </w:p>
    <w:p>
      <w:pPr>
        <w:pStyle w:val="15"/>
        <w:tabs>
          <w:tab w:val="right" w:leader="dot" w:pos="10114"/>
          <w:tab w:val="clear" w:pos="10104"/>
        </w:tabs>
      </w:pPr>
      <w:r>
        <w:fldChar w:fldCharType="begin"/>
      </w:r>
      <w:r>
        <w:instrText xml:space="preserve"> HYPERLINK \l _Toc27796 </w:instrText>
      </w:r>
      <w:r>
        <w:fldChar w:fldCharType="separate"/>
      </w:r>
      <w:r>
        <w:rPr>
          <w:rFonts w:hint="eastAsia"/>
        </w:rPr>
        <w:t>3.3 对客户的好处</w:t>
      </w:r>
      <w:r>
        <w:tab/>
      </w:r>
      <w:r>
        <w:fldChar w:fldCharType="begin"/>
      </w:r>
      <w:r>
        <w:instrText xml:space="preserve"> PAGEREF _Toc27796 \h </w:instrText>
      </w:r>
      <w:r>
        <w:fldChar w:fldCharType="separate"/>
      </w:r>
      <w:r>
        <w:t>10</w:t>
      </w:r>
      <w:r>
        <w:fldChar w:fldCharType="end"/>
      </w:r>
      <w:r>
        <w:fldChar w:fldCharType="end"/>
      </w:r>
    </w:p>
    <w:p>
      <w:pPr>
        <w:pStyle w:val="13"/>
        <w:tabs>
          <w:tab w:val="right" w:leader="dot" w:pos="10114"/>
          <w:tab w:val="clear" w:pos="10104"/>
        </w:tabs>
      </w:pPr>
      <w:r>
        <w:fldChar w:fldCharType="begin"/>
      </w:r>
      <w:r>
        <w:instrText xml:space="preserve"> HYPERLINK \l _Toc7000 </w:instrText>
      </w:r>
      <w:r>
        <w:fldChar w:fldCharType="separate"/>
      </w:r>
      <w:r>
        <w:rPr>
          <w:rFonts w:hint="eastAsia"/>
        </w:rPr>
        <w:t>PART4 功能描述</w:t>
      </w:r>
      <w:r>
        <w:tab/>
      </w:r>
      <w:r>
        <w:fldChar w:fldCharType="begin"/>
      </w:r>
      <w:r>
        <w:instrText xml:space="preserve"> PAGEREF _Toc7000 \h </w:instrText>
      </w:r>
      <w:r>
        <w:fldChar w:fldCharType="separate"/>
      </w:r>
      <w:r>
        <w:t>11</w:t>
      </w:r>
      <w:r>
        <w:fldChar w:fldCharType="end"/>
      </w:r>
      <w:r>
        <w:fldChar w:fldCharType="end"/>
      </w:r>
    </w:p>
    <w:p>
      <w:pPr>
        <w:pStyle w:val="15"/>
        <w:tabs>
          <w:tab w:val="right" w:leader="dot" w:pos="10114"/>
          <w:tab w:val="clear" w:pos="10104"/>
        </w:tabs>
      </w:pPr>
      <w:r>
        <w:fldChar w:fldCharType="begin"/>
      </w:r>
      <w:r>
        <w:instrText xml:space="preserve"> HYPERLINK \l _Toc11010 </w:instrText>
      </w:r>
      <w:r>
        <w:fldChar w:fldCharType="separate"/>
      </w:r>
      <w:r>
        <w:rPr>
          <w:rFonts w:hint="eastAsia"/>
        </w:rPr>
        <w:t>4.1 功能组件概览</w:t>
      </w:r>
      <w:r>
        <w:tab/>
      </w:r>
      <w:r>
        <w:fldChar w:fldCharType="begin"/>
      </w:r>
      <w:r>
        <w:instrText xml:space="preserve"> PAGEREF _Toc11010 \h </w:instrText>
      </w:r>
      <w:r>
        <w:fldChar w:fldCharType="separate"/>
      </w:r>
      <w:r>
        <w:t>11</w:t>
      </w:r>
      <w:r>
        <w:fldChar w:fldCharType="end"/>
      </w:r>
      <w:r>
        <w:fldChar w:fldCharType="end"/>
      </w:r>
    </w:p>
    <w:p>
      <w:pPr>
        <w:pStyle w:val="15"/>
        <w:tabs>
          <w:tab w:val="right" w:leader="dot" w:pos="10114"/>
          <w:tab w:val="clear" w:pos="10104"/>
        </w:tabs>
      </w:pPr>
      <w:r>
        <w:fldChar w:fldCharType="begin"/>
      </w:r>
      <w:r>
        <w:instrText xml:space="preserve"> HYPERLINK \l _Toc3406 </w:instrText>
      </w:r>
      <w:r>
        <w:fldChar w:fldCharType="separate"/>
      </w:r>
      <w:r>
        <w:rPr>
          <w:rFonts w:hint="eastAsia"/>
        </w:rPr>
        <w:t>4.2 常用功能介绍</w:t>
      </w:r>
      <w:r>
        <w:tab/>
      </w:r>
      <w:r>
        <w:fldChar w:fldCharType="begin"/>
      </w:r>
      <w:r>
        <w:instrText xml:space="preserve"> PAGEREF _Toc3406 \h </w:instrText>
      </w:r>
      <w:r>
        <w:fldChar w:fldCharType="separate"/>
      </w:r>
      <w:r>
        <w:t>12</w:t>
      </w:r>
      <w:r>
        <w:fldChar w:fldCharType="end"/>
      </w:r>
      <w:r>
        <w:fldChar w:fldCharType="end"/>
      </w:r>
    </w:p>
    <w:p>
      <w:pPr>
        <w:pStyle w:val="8"/>
        <w:tabs>
          <w:tab w:val="right" w:leader="dot" w:pos="10114"/>
          <w:tab w:val="clear" w:pos="10104"/>
        </w:tabs>
      </w:pPr>
      <w:r>
        <w:fldChar w:fldCharType="begin"/>
      </w:r>
      <w:r>
        <w:instrText xml:space="preserve"> HYPERLINK \l _Toc17149 </w:instrText>
      </w:r>
      <w:r>
        <w:fldChar w:fldCharType="separate"/>
      </w:r>
      <w:r>
        <w:rPr>
          <w:rFonts w:hint="eastAsia"/>
        </w:rPr>
        <w:t>4.2.1 起草申请</w:t>
      </w:r>
      <w:r>
        <w:tab/>
      </w:r>
      <w:r>
        <w:fldChar w:fldCharType="begin"/>
      </w:r>
      <w:r>
        <w:instrText xml:space="preserve"> PAGEREF _Toc17149 \h </w:instrText>
      </w:r>
      <w:r>
        <w:fldChar w:fldCharType="separate"/>
      </w:r>
      <w:r>
        <w:t>12</w:t>
      </w:r>
      <w:r>
        <w:fldChar w:fldCharType="end"/>
      </w:r>
      <w:r>
        <w:fldChar w:fldCharType="end"/>
      </w:r>
    </w:p>
    <w:p>
      <w:pPr>
        <w:pStyle w:val="8"/>
        <w:tabs>
          <w:tab w:val="right" w:leader="dot" w:pos="10114"/>
          <w:tab w:val="clear" w:pos="10104"/>
        </w:tabs>
      </w:pPr>
      <w:r>
        <w:fldChar w:fldCharType="begin"/>
      </w:r>
      <w:r>
        <w:instrText xml:space="preserve"> HYPERLINK \l _Toc6885 </w:instrText>
      </w:r>
      <w:r>
        <w:fldChar w:fldCharType="separate"/>
      </w:r>
      <w:r>
        <w:rPr>
          <w:rFonts w:hint="eastAsia"/>
        </w:rPr>
        <w:t>4.2.2 我的申请</w:t>
      </w:r>
      <w:r>
        <w:tab/>
      </w:r>
      <w:r>
        <w:fldChar w:fldCharType="begin"/>
      </w:r>
      <w:r>
        <w:instrText xml:space="preserve"> PAGEREF _Toc6885 \h </w:instrText>
      </w:r>
      <w:r>
        <w:fldChar w:fldCharType="separate"/>
      </w:r>
      <w:r>
        <w:t>13</w:t>
      </w:r>
      <w:r>
        <w:fldChar w:fldCharType="end"/>
      </w:r>
      <w:r>
        <w:fldChar w:fldCharType="end"/>
      </w:r>
    </w:p>
    <w:p>
      <w:pPr>
        <w:pStyle w:val="8"/>
        <w:tabs>
          <w:tab w:val="right" w:leader="dot" w:pos="10114"/>
          <w:tab w:val="clear" w:pos="10104"/>
        </w:tabs>
      </w:pPr>
      <w:r>
        <w:fldChar w:fldCharType="begin"/>
      </w:r>
      <w:r>
        <w:instrText xml:space="preserve"> HYPERLINK \l _Toc15425 </w:instrText>
      </w:r>
      <w:r>
        <w:fldChar w:fldCharType="separate"/>
      </w:r>
      <w:r>
        <w:rPr>
          <w:rFonts w:hint="eastAsia"/>
        </w:rPr>
        <w:t>4.2.3 待我审批</w:t>
      </w:r>
      <w:r>
        <w:tab/>
      </w:r>
      <w:r>
        <w:fldChar w:fldCharType="begin"/>
      </w:r>
      <w:r>
        <w:instrText xml:space="preserve"> PAGEREF _Toc15425 \h </w:instrText>
      </w:r>
      <w:r>
        <w:fldChar w:fldCharType="separate"/>
      </w:r>
      <w:r>
        <w:t>14</w:t>
      </w:r>
      <w:r>
        <w:fldChar w:fldCharType="end"/>
      </w:r>
      <w:r>
        <w:fldChar w:fldCharType="end"/>
      </w:r>
    </w:p>
    <w:p>
      <w:pPr>
        <w:pStyle w:val="8"/>
        <w:tabs>
          <w:tab w:val="right" w:leader="dot" w:pos="10114"/>
          <w:tab w:val="clear" w:pos="10104"/>
        </w:tabs>
      </w:pPr>
      <w:r>
        <w:fldChar w:fldCharType="begin"/>
      </w:r>
      <w:r>
        <w:instrText xml:space="preserve"> HYPERLINK \l _Toc24867 </w:instrText>
      </w:r>
      <w:r>
        <w:fldChar w:fldCharType="separate"/>
      </w:r>
      <w:r>
        <w:rPr>
          <w:rFonts w:hint="eastAsia"/>
        </w:rPr>
        <w:t>4.2.4 经我审批</w:t>
      </w:r>
      <w:r>
        <w:tab/>
      </w:r>
      <w:r>
        <w:fldChar w:fldCharType="begin"/>
      </w:r>
      <w:r>
        <w:instrText xml:space="preserve"> PAGEREF _Toc24867 \h </w:instrText>
      </w:r>
      <w:r>
        <w:fldChar w:fldCharType="separate"/>
      </w:r>
      <w:r>
        <w:t>16</w:t>
      </w:r>
      <w:r>
        <w:fldChar w:fldCharType="end"/>
      </w:r>
      <w:r>
        <w:fldChar w:fldCharType="end"/>
      </w:r>
    </w:p>
    <w:p>
      <w:pPr>
        <w:pStyle w:val="8"/>
        <w:tabs>
          <w:tab w:val="right" w:leader="dot" w:pos="10114"/>
          <w:tab w:val="clear" w:pos="10104"/>
        </w:tabs>
      </w:pPr>
      <w:r>
        <w:fldChar w:fldCharType="begin"/>
      </w:r>
      <w:r>
        <w:instrText xml:space="preserve"> HYPERLINK \l _Toc2828 </w:instrText>
      </w:r>
      <w:r>
        <w:fldChar w:fldCharType="separate"/>
      </w:r>
      <w:r>
        <w:rPr>
          <w:rFonts w:hint="eastAsia"/>
        </w:rPr>
        <w:t xml:space="preserve">4.2.5 </w:t>
      </w:r>
      <w:r>
        <w:rPr>
          <w:rFonts w:hint="eastAsia"/>
          <w:lang w:val="en-US" w:eastAsia="zh-CN"/>
        </w:rPr>
        <w:t>待我阅读</w:t>
      </w:r>
      <w:r>
        <w:tab/>
      </w:r>
      <w:r>
        <w:fldChar w:fldCharType="begin"/>
      </w:r>
      <w:r>
        <w:instrText xml:space="preserve"> PAGEREF _Toc2828 \h </w:instrText>
      </w:r>
      <w:r>
        <w:fldChar w:fldCharType="separate"/>
      </w:r>
      <w:r>
        <w:t>17</w:t>
      </w:r>
      <w:r>
        <w:fldChar w:fldCharType="end"/>
      </w:r>
      <w:r>
        <w:fldChar w:fldCharType="end"/>
      </w:r>
    </w:p>
    <w:p>
      <w:pPr>
        <w:pStyle w:val="8"/>
        <w:tabs>
          <w:tab w:val="right" w:leader="dot" w:pos="10114"/>
          <w:tab w:val="clear" w:pos="10104"/>
        </w:tabs>
      </w:pPr>
      <w:r>
        <w:fldChar w:fldCharType="begin"/>
      </w:r>
      <w:r>
        <w:instrText xml:space="preserve"> HYPERLINK \l _Toc26968 </w:instrText>
      </w:r>
      <w:r>
        <w:fldChar w:fldCharType="separate"/>
      </w:r>
      <w:r>
        <w:rPr>
          <w:rFonts w:hint="eastAsia"/>
        </w:rPr>
        <w:t xml:space="preserve">4.2.6 </w:t>
      </w:r>
      <w:r>
        <w:rPr>
          <w:rFonts w:hint="eastAsia"/>
          <w:lang w:val="en-US" w:eastAsia="zh-CN"/>
        </w:rPr>
        <w:t>我的承办</w:t>
      </w:r>
      <w:r>
        <w:tab/>
      </w:r>
      <w:r>
        <w:fldChar w:fldCharType="begin"/>
      </w:r>
      <w:r>
        <w:instrText xml:space="preserve"> PAGEREF _Toc26968 \h </w:instrText>
      </w:r>
      <w:r>
        <w:fldChar w:fldCharType="separate"/>
      </w:r>
      <w:r>
        <w:t>18</w:t>
      </w:r>
      <w:r>
        <w:fldChar w:fldCharType="end"/>
      </w:r>
      <w:r>
        <w:fldChar w:fldCharType="end"/>
      </w:r>
    </w:p>
    <w:p>
      <w:pPr>
        <w:pStyle w:val="8"/>
        <w:tabs>
          <w:tab w:val="right" w:leader="dot" w:pos="10114"/>
          <w:tab w:val="clear" w:pos="10104"/>
        </w:tabs>
      </w:pPr>
      <w:r>
        <w:fldChar w:fldCharType="begin"/>
      </w:r>
      <w:r>
        <w:instrText xml:space="preserve"> HYPERLINK \l _Toc2383 </w:instrText>
      </w:r>
      <w:r>
        <w:fldChar w:fldCharType="separate"/>
      </w:r>
      <w:r>
        <w:rPr>
          <w:rFonts w:hint="eastAsia"/>
        </w:rPr>
        <w:t xml:space="preserve">4.2.7 </w:t>
      </w:r>
      <w:r>
        <w:rPr>
          <w:rFonts w:hint="eastAsia"/>
          <w:lang w:val="en-US" w:eastAsia="zh-CN"/>
        </w:rPr>
        <w:t>转发查阅</w:t>
      </w:r>
      <w:r>
        <w:tab/>
      </w:r>
      <w:r>
        <w:fldChar w:fldCharType="begin"/>
      </w:r>
      <w:r>
        <w:instrText xml:space="preserve"> PAGEREF _Toc2383 \h </w:instrText>
      </w:r>
      <w:r>
        <w:fldChar w:fldCharType="separate"/>
      </w:r>
      <w:r>
        <w:t>19</w:t>
      </w:r>
      <w:r>
        <w:fldChar w:fldCharType="end"/>
      </w:r>
      <w:r>
        <w:fldChar w:fldCharType="end"/>
      </w:r>
    </w:p>
    <w:p>
      <w:pPr>
        <w:pStyle w:val="8"/>
        <w:tabs>
          <w:tab w:val="right" w:leader="dot" w:pos="10114"/>
          <w:tab w:val="clear" w:pos="10104"/>
        </w:tabs>
      </w:pPr>
      <w:r>
        <w:fldChar w:fldCharType="begin"/>
      </w:r>
      <w:r>
        <w:instrText xml:space="preserve"> HYPERLINK \l _Toc19465 </w:instrText>
      </w:r>
      <w:r>
        <w:fldChar w:fldCharType="separate"/>
      </w:r>
      <w:r>
        <w:rPr>
          <w:rFonts w:hint="eastAsia"/>
        </w:rPr>
        <w:t xml:space="preserve">4.2.8 </w:t>
      </w:r>
      <w:r>
        <w:rPr>
          <w:rFonts w:hint="eastAsia"/>
          <w:lang w:val="en-US" w:eastAsia="zh-CN"/>
        </w:rPr>
        <w:t>我的关注</w:t>
      </w:r>
      <w:r>
        <w:tab/>
      </w:r>
      <w:r>
        <w:fldChar w:fldCharType="begin"/>
      </w:r>
      <w:r>
        <w:instrText xml:space="preserve"> PAGEREF _Toc19465 \h </w:instrText>
      </w:r>
      <w:r>
        <w:fldChar w:fldCharType="separate"/>
      </w:r>
      <w:r>
        <w:t>19</w:t>
      </w:r>
      <w:r>
        <w:fldChar w:fldCharType="end"/>
      </w:r>
      <w:r>
        <w:fldChar w:fldCharType="end"/>
      </w:r>
    </w:p>
    <w:p>
      <w:pPr>
        <w:pStyle w:val="8"/>
        <w:tabs>
          <w:tab w:val="right" w:leader="dot" w:pos="10114"/>
          <w:tab w:val="clear" w:pos="10104"/>
        </w:tabs>
      </w:pPr>
      <w:r>
        <w:fldChar w:fldCharType="begin"/>
      </w:r>
      <w:r>
        <w:instrText xml:space="preserve"> HYPERLINK \l _Toc25199 </w:instrText>
      </w:r>
      <w:r>
        <w:fldChar w:fldCharType="separate"/>
      </w:r>
      <w:r>
        <w:rPr>
          <w:rFonts w:hint="eastAsia"/>
        </w:rPr>
        <w:t xml:space="preserve">4.2.9 </w:t>
      </w:r>
      <w:r>
        <w:rPr>
          <w:rFonts w:hint="eastAsia"/>
          <w:lang w:val="en-US" w:eastAsia="zh-CN"/>
        </w:rPr>
        <w:t>委托审批</w:t>
      </w:r>
      <w:r>
        <w:tab/>
      </w:r>
      <w:r>
        <w:fldChar w:fldCharType="begin"/>
      </w:r>
      <w:r>
        <w:instrText xml:space="preserve"> PAGEREF _Toc25199 \h </w:instrText>
      </w:r>
      <w:r>
        <w:fldChar w:fldCharType="separate"/>
      </w:r>
      <w:r>
        <w:t>20</w:t>
      </w:r>
      <w:r>
        <w:fldChar w:fldCharType="end"/>
      </w:r>
      <w:r>
        <w:fldChar w:fldCharType="end"/>
      </w:r>
    </w:p>
    <w:p>
      <w:pPr>
        <w:pStyle w:val="8"/>
        <w:tabs>
          <w:tab w:val="right" w:leader="dot" w:pos="10114"/>
          <w:tab w:val="clear" w:pos="10104"/>
        </w:tabs>
      </w:pPr>
      <w:r>
        <w:fldChar w:fldCharType="begin"/>
      </w:r>
      <w:r>
        <w:instrText xml:space="preserve"> HYPERLINK \l _Toc28723 </w:instrText>
      </w:r>
      <w:r>
        <w:fldChar w:fldCharType="separate"/>
      </w:r>
      <w:r>
        <w:rPr>
          <w:rFonts w:hint="eastAsia"/>
        </w:rPr>
        <w:t>4.2.10 审批监控</w:t>
      </w:r>
      <w:r>
        <w:tab/>
      </w:r>
      <w:r>
        <w:fldChar w:fldCharType="begin"/>
      </w:r>
      <w:r>
        <w:instrText xml:space="preserve"> PAGEREF _Toc28723 \h </w:instrText>
      </w:r>
      <w:r>
        <w:fldChar w:fldCharType="separate"/>
      </w:r>
      <w:r>
        <w:t>21</w:t>
      </w:r>
      <w:r>
        <w:fldChar w:fldCharType="end"/>
      </w:r>
      <w:r>
        <w:fldChar w:fldCharType="end"/>
      </w:r>
    </w:p>
    <w:p>
      <w:pPr>
        <w:pStyle w:val="8"/>
        <w:tabs>
          <w:tab w:val="right" w:leader="dot" w:pos="10114"/>
          <w:tab w:val="clear" w:pos="10104"/>
        </w:tabs>
      </w:pPr>
      <w:r>
        <w:fldChar w:fldCharType="begin"/>
      </w:r>
      <w:r>
        <w:instrText xml:space="preserve"> HYPERLINK \l _Toc19957 </w:instrText>
      </w:r>
      <w:r>
        <w:fldChar w:fldCharType="separate"/>
      </w:r>
      <w:r>
        <w:rPr>
          <w:rFonts w:hint="eastAsia"/>
        </w:rPr>
        <w:t>4.2.11 审批设置</w:t>
      </w:r>
      <w:r>
        <w:tab/>
      </w:r>
      <w:r>
        <w:fldChar w:fldCharType="begin"/>
      </w:r>
      <w:r>
        <w:instrText xml:space="preserve"> PAGEREF _Toc19957 \h </w:instrText>
      </w:r>
      <w:r>
        <w:fldChar w:fldCharType="separate"/>
      </w:r>
      <w:r>
        <w:t>22</w:t>
      </w:r>
      <w:r>
        <w:fldChar w:fldCharType="end"/>
      </w:r>
      <w:r>
        <w:fldChar w:fldCharType="end"/>
      </w:r>
    </w:p>
    <w:p>
      <w:pPr>
        <w:pStyle w:val="8"/>
        <w:tabs>
          <w:tab w:val="right" w:leader="dot" w:pos="10114"/>
          <w:tab w:val="clear" w:pos="10104"/>
        </w:tabs>
      </w:pPr>
      <w:r>
        <w:fldChar w:fldCharType="begin"/>
      </w:r>
      <w:r>
        <w:instrText xml:space="preserve"> HYPERLINK \l _Toc29104 </w:instrText>
      </w:r>
      <w:r>
        <w:fldChar w:fldCharType="separate"/>
      </w:r>
      <w:r>
        <w:rPr>
          <w:rFonts w:hint="eastAsia"/>
        </w:rPr>
        <w:t>4.2.12 审批</w:t>
      </w:r>
      <w:r>
        <w:rPr>
          <w:rFonts w:hint="eastAsia"/>
          <w:lang w:val="en-US" w:eastAsia="zh-CN"/>
        </w:rPr>
        <w:t>报表</w:t>
      </w:r>
      <w:r>
        <w:tab/>
      </w:r>
      <w:r>
        <w:fldChar w:fldCharType="begin"/>
      </w:r>
      <w:r>
        <w:instrText xml:space="preserve"> PAGEREF _Toc29104 \h </w:instrText>
      </w:r>
      <w:r>
        <w:fldChar w:fldCharType="separate"/>
      </w:r>
      <w:r>
        <w:t>26</w:t>
      </w:r>
      <w:r>
        <w:fldChar w:fldCharType="end"/>
      </w:r>
      <w:r>
        <w:fldChar w:fldCharType="end"/>
      </w:r>
    </w:p>
    <w:p>
      <w:pPr>
        <w:pStyle w:val="13"/>
        <w:tabs>
          <w:tab w:val="right" w:leader="dot" w:pos="10114"/>
          <w:tab w:val="clear" w:pos="10104"/>
        </w:tabs>
      </w:pPr>
      <w:r>
        <w:fldChar w:fldCharType="begin"/>
      </w:r>
      <w:r>
        <w:instrText xml:space="preserve"> HYPERLINK \l _Toc6372 </w:instrText>
      </w:r>
      <w:r>
        <w:fldChar w:fldCharType="separate"/>
      </w:r>
      <w:r>
        <w:rPr>
          <w:rFonts w:hint="eastAsia" w:asciiTheme="minorEastAsia" w:hAnsiTheme="minorEastAsia" w:eastAsiaTheme="minorEastAsia" w:cstheme="minorEastAsia"/>
        </w:rPr>
        <w:t>PART5 在</w:t>
      </w:r>
      <w:r>
        <w:rPr>
          <w:rFonts w:hint="eastAsia" w:asciiTheme="minorEastAsia" w:hAnsiTheme="minorEastAsia" w:eastAsiaTheme="minorEastAsia" w:cstheme="minorEastAsia"/>
          <w:bCs w:val="0"/>
        </w:rPr>
        <w:t>系统</w:t>
      </w:r>
      <w:r>
        <w:rPr>
          <w:rFonts w:hint="eastAsia" w:asciiTheme="minorEastAsia" w:hAnsiTheme="minorEastAsia" w:eastAsiaTheme="minorEastAsia" w:cstheme="minorEastAsia"/>
        </w:rPr>
        <w:t>规划、实施与应用过程中的注意事项</w:t>
      </w:r>
      <w:r>
        <w:tab/>
      </w:r>
      <w:r>
        <w:fldChar w:fldCharType="begin"/>
      </w:r>
      <w:r>
        <w:instrText xml:space="preserve"> PAGEREF _Toc6372 \h </w:instrText>
      </w:r>
      <w:r>
        <w:fldChar w:fldCharType="separate"/>
      </w:r>
      <w:r>
        <w:t>29</w:t>
      </w:r>
      <w:r>
        <w:fldChar w:fldCharType="end"/>
      </w:r>
      <w:r>
        <w:fldChar w:fldCharType="end"/>
      </w:r>
    </w:p>
    <w:p>
      <w:pPr>
        <w:pStyle w:val="13"/>
        <w:tabs>
          <w:tab w:val="right" w:leader="dot" w:pos="10114"/>
          <w:tab w:val="clear" w:pos="10104"/>
        </w:tabs>
      </w:pPr>
      <w:r>
        <w:fldChar w:fldCharType="begin"/>
      </w:r>
      <w:r>
        <w:instrText xml:space="preserve"> HYPERLINK \l _Toc20425 </w:instrText>
      </w:r>
      <w:r>
        <w:fldChar w:fldCharType="separate"/>
      </w:r>
      <w:r>
        <w:rPr>
          <w:rFonts w:hint="eastAsia" w:ascii="Arial" w:hAnsi="Arial"/>
        </w:rPr>
        <w:t xml:space="preserve">PART6 </w:t>
      </w:r>
      <w:r>
        <w:rPr>
          <w:rFonts w:hint="eastAsia" w:eastAsia="微软雅黑"/>
          <w:bCs w:val="0"/>
        </w:rPr>
        <w:t>行业</w:t>
      </w:r>
      <w:r>
        <w:rPr>
          <w:rFonts w:hint="eastAsia" w:ascii="Arial" w:hAnsi="Arial"/>
        </w:rPr>
        <w:t>应用精选</w:t>
      </w:r>
      <w:r>
        <w:tab/>
      </w:r>
      <w:r>
        <w:fldChar w:fldCharType="begin"/>
      </w:r>
      <w:r>
        <w:instrText xml:space="preserve"> PAGEREF _Toc20425 \h </w:instrText>
      </w:r>
      <w:r>
        <w:fldChar w:fldCharType="separate"/>
      </w:r>
      <w:r>
        <w:t>30</w:t>
      </w:r>
      <w:r>
        <w:fldChar w:fldCharType="end"/>
      </w:r>
      <w:r>
        <w:fldChar w:fldCharType="end"/>
      </w:r>
    </w:p>
    <w:p>
      <w:pPr>
        <w:pStyle w:val="15"/>
        <w:tabs>
          <w:tab w:val="right" w:leader="dot" w:pos="10114"/>
          <w:tab w:val="clear" w:pos="10104"/>
        </w:tabs>
      </w:pPr>
      <w:r>
        <w:fldChar w:fldCharType="begin"/>
      </w:r>
      <w:r>
        <w:instrText xml:space="preserve"> HYPERLINK \l _Toc14985 </w:instrText>
      </w:r>
      <w:r>
        <w:fldChar w:fldCharType="separate"/>
      </w:r>
      <w:r>
        <w:rPr>
          <w:rFonts w:hint="eastAsia"/>
        </w:rPr>
        <w:t>6.1 大型交通运输集团智慧流程建设案例</w:t>
      </w:r>
      <w:r>
        <w:tab/>
      </w:r>
      <w:r>
        <w:fldChar w:fldCharType="begin"/>
      </w:r>
      <w:r>
        <w:instrText xml:space="preserve"> PAGEREF _Toc14985 \h </w:instrText>
      </w:r>
      <w:r>
        <w:fldChar w:fldCharType="separate"/>
      </w:r>
      <w:r>
        <w:t>30</w:t>
      </w:r>
      <w:r>
        <w:fldChar w:fldCharType="end"/>
      </w:r>
      <w:r>
        <w:fldChar w:fldCharType="end"/>
      </w:r>
    </w:p>
    <w:p>
      <w:pPr>
        <w:pStyle w:val="15"/>
        <w:tabs>
          <w:tab w:val="right" w:leader="dot" w:pos="10114"/>
          <w:tab w:val="clear" w:pos="10104"/>
        </w:tabs>
      </w:pPr>
      <w:r>
        <w:fldChar w:fldCharType="begin"/>
      </w:r>
      <w:r>
        <w:instrText xml:space="preserve"> HYPERLINK \l _Toc19759 </w:instrText>
      </w:r>
      <w:r>
        <w:fldChar w:fldCharType="separate"/>
      </w:r>
      <w:r>
        <w:rPr>
          <w:rFonts w:hint="eastAsia"/>
        </w:rPr>
        <w:t>6.2 大型装备制造企业流程数字化案例</w:t>
      </w:r>
      <w:r>
        <w:tab/>
      </w:r>
      <w:r>
        <w:fldChar w:fldCharType="begin"/>
      </w:r>
      <w:r>
        <w:instrText xml:space="preserve"> PAGEREF _Toc19759 \h </w:instrText>
      </w:r>
      <w:r>
        <w:fldChar w:fldCharType="separate"/>
      </w:r>
      <w:r>
        <w:t>33</w:t>
      </w:r>
      <w:r>
        <w:fldChar w:fldCharType="end"/>
      </w:r>
      <w:r>
        <w:fldChar w:fldCharType="end"/>
      </w:r>
    </w:p>
    <w:p>
      <w:pPr>
        <w:pStyle w:val="15"/>
        <w:tabs>
          <w:tab w:val="right" w:leader="dot" w:pos="10114"/>
          <w:tab w:val="clear" w:pos="10104"/>
        </w:tabs>
      </w:pPr>
      <w:r>
        <w:fldChar w:fldCharType="begin"/>
      </w:r>
      <w:r>
        <w:instrText xml:space="preserve"> HYPERLINK \l _Toc22783 </w:instrText>
      </w:r>
      <w:r>
        <w:fldChar w:fldCharType="separate"/>
      </w:r>
      <w:r>
        <w:rPr>
          <w:rFonts w:hint="eastAsia"/>
        </w:rPr>
        <w:t>6.3 金融服务企业审批流程管理案例</w:t>
      </w:r>
      <w:r>
        <w:tab/>
      </w:r>
      <w:r>
        <w:fldChar w:fldCharType="begin"/>
      </w:r>
      <w:r>
        <w:instrText xml:space="preserve"> PAGEREF _Toc22783 \h </w:instrText>
      </w:r>
      <w:r>
        <w:fldChar w:fldCharType="separate"/>
      </w:r>
      <w:r>
        <w:t>35</w:t>
      </w:r>
      <w:r>
        <w:fldChar w:fldCharType="end"/>
      </w:r>
      <w:r>
        <w:fldChar w:fldCharType="end"/>
      </w:r>
    </w:p>
    <w:p>
      <w:pPr>
        <w:widowControl/>
        <w:adjustRightInd/>
        <w:snapToGrid/>
        <w:spacing w:beforeLines="0" w:afterLines="0" w:line="240" w:lineRule="auto"/>
        <w:ind w:firstLine="0" w:firstLineChars="0"/>
        <w:jc w:val="left"/>
      </w:pPr>
      <w:r>
        <w:fldChar w:fldCharType="end"/>
      </w:r>
    </w:p>
    <w:p>
      <w:pPr>
        <w:widowControl/>
        <w:adjustRightInd/>
        <w:snapToGrid/>
        <w:spacing w:beforeLines="0" w:afterLines="0" w:line="240" w:lineRule="auto"/>
        <w:ind w:firstLine="0" w:firstLineChars="0"/>
        <w:jc w:val="left"/>
      </w:pPr>
    </w:p>
    <w:p>
      <w:pPr>
        <w:pStyle w:val="8"/>
        <w:sectPr>
          <w:headerReference r:id="rId11" w:type="first"/>
          <w:footerReference r:id="rId14" w:type="first"/>
          <w:headerReference r:id="rId9" w:type="default"/>
          <w:footerReference r:id="rId12" w:type="default"/>
          <w:headerReference r:id="rId10" w:type="even"/>
          <w:footerReference r:id="rId13" w:type="even"/>
          <w:pgSz w:w="11906" w:h="16838"/>
          <w:pgMar w:top="1559" w:right="896" w:bottom="777" w:left="896" w:header="851" w:footer="397" w:gutter="0"/>
          <w:pgNumType w:start="1"/>
          <w:cols w:space="425" w:num="1"/>
          <w:docGrid w:type="lines" w:linePitch="312" w:charSpace="0"/>
        </w:sectPr>
      </w:pPr>
    </w:p>
    <w:p>
      <w:pPr>
        <w:pStyle w:val="2"/>
        <w:widowControl/>
        <w:spacing w:after="249"/>
        <w:ind w:left="425" w:leftChars="0" w:firstLineChars="0"/>
        <w:jc w:val="left"/>
      </w:pPr>
      <w:bookmarkStart w:id="2" w:name="_Toc21593"/>
      <w:bookmarkStart w:id="3" w:name="_Toc19598"/>
      <w:r>
        <w:rPr>
          <w:rFonts w:hint="eastAsia" w:eastAsia="微软雅黑"/>
          <w:bCs w:val="0"/>
        </w:rPr>
        <w:t>研发目的</w:t>
      </w:r>
      <w:bookmarkEnd w:id="2"/>
      <w:bookmarkEnd w:id="3"/>
    </w:p>
    <w:p>
      <w:pPr>
        <w:bidi w:val="0"/>
        <w:rPr>
          <w:rFonts w:hint="eastAsia"/>
          <w:lang w:val="en-US" w:eastAsia="zh-CN"/>
        </w:rPr>
      </w:pPr>
      <w:r>
        <w:rPr>
          <w:rFonts w:hint="eastAsia"/>
          <w:lang w:val="en-US" w:eastAsia="zh-CN"/>
        </w:rPr>
        <w:t>华天动力智慧流程与审批管理平台，是以工作流引擎为核心能力的企业流程管理平台。平台通过可视化流程设计、灵活流程配置、智能表单、权限控制、数据集成等技术，实现企业业务流程的数字化、自动化管理。</w:t>
      </w:r>
    </w:p>
    <w:p>
      <w:pPr>
        <w:bidi w:val="0"/>
        <w:rPr>
          <w:rFonts w:hint="eastAsia"/>
          <w:lang w:val="en-US" w:eastAsia="zh-CN"/>
        </w:rPr>
      </w:pPr>
      <w:r>
        <w:rPr>
          <w:rFonts w:hint="eastAsia"/>
          <w:lang w:val="en-US" w:eastAsia="zh-CN"/>
        </w:rPr>
        <w:t>作为华天动力协同OA系统的重要核心能力，工作流引擎能够帮助企业将传统线下审批和业务处理过程转变为线上化、规范化、智能化流程，实现流程快速搭建、灵活调整、过程监控和数据分析，满足不同组织、不同业务场景下的流程管理需求。</w:t>
      </w:r>
    </w:p>
    <w:p>
      <w:pPr>
        <w:bidi w:val="0"/>
        <w:rPr>
          <w:rFonts w:hint="eastAsia"/>
        </w:rPr>
      </w:pPr>
      <w:r>
        <w:rPr>
          <w:rFonts w:hint="eastAsia"/>
          <w:lang w:val="en-US" w:eastAsia="zh-CN"/>
        </w:rPr>
        <w:t>华天动力工作流引擎支持固定流程、自由流程、条件流程、分支流程、并发流程、协同流程等多种流程模式，并结合灵动节点机制，实现复杂业务流程的灵活配置和高效流转。</w:t>
      </w:r>
    </w:p>
    <w:p>
      <w:pPr>
        <w:spacing w:before="93" w:after="93"/>
        <w:ind w:firstLine="420"/>
        <w:rPr>
          <w:rFonts w:hint="eastAsia"/>
        </w:rPr>
      </w:pPr>
      <w:r>
        <w:rPr>
          <w:rFonts w:hint="eastAsia"/>
        </w:rPr>
        <w:t>企事业单位内部包括行政、人事、IT等部门的审批单，大多采用纸张填写，之后手工传递、传真，或是采用Word / Excel文档填写，通过邮件发送。这些处理方式，一方面无法对整个流程状况进行有效监控，另一方面，有时难免会出现人为的失误和时间上的延时，以致效率低下，特别是无法进行量化统计，不利于查询和评估报表及绩效。通过审批流转模块，这些问题</w:t>
      </w:r>
      <w:r>
        <w:rPr>
          <w:rFonts w:hint="eastAsia"/>
          <w:lang w:val="en-US" w:eastAsia="zh-CN"/>
        </w:rPr>
        <w:t>将</w:t>
      </w:r>
      <w:r>
        <w:rPr>
          <w:rFonts w:hint="eastAsia"/>
        </w:rPr>
        <w:t>迎刃而解。</w:t>
      </w:r>
    </w:p>
    <w:p>
      <w:pPr>
        <w:spacing w:before="93" w:after="93"/>
        <w:ind w:left="0" w:leftChars="0" w:firstLine="0" w:firstLineChars="0"/>
        <w:rPr>
          <w:rFonts w:hint="eastAsia"/>
        </w:rPr>
      </w:pPr>
    </w:p>
    <w:p>
      <w:pPr>
        <w:pStyle w:val="4"/>
        <w:rPr>
          <w:rFonts w:hint="eastAsia"/>
        </w:rPr>
      </w:pPr>
      <w:bookmarkStart w:id="4" w:name="_Toc9743"/>
      <w:bookmarkStart w:id="5" w:name="_Toc11484"/>
      <w:r>
        <w:rPr>
          <w:rFonts w:hint="eastAsia"/>
        </w:rPr>
        <w:t>使用场景</w:t>
      </w:r>
      <w:bookmarkEnd w:id="4"/>
      <w:bookmarkEnd w:id="5"/>
    </w:p>
    <w:p>
      <w:pPr>
        <w:spacing w:before="93" w:after="93"/>
        <w:ind w:firstLine="420"/>
        <w:rPr>
          <w:b/>
        </w:rPr>
      </w:pPr>
      <w:r>
        <w:rPr>
          <w:rFonts w:hint="eastAsia"/>
          <w:b/>
        </w:rPr>
        <w:t>从流程的形式上，有如下应用场景：</w:t>
      </w:r>
    </w:p>
    <w:p>
      <w:pPr>
        <w:pStyle w:val="33"/>
      </w:pPr>
      <w:r>
        <w:rPr>
          <w:rFonts w:hint="eastAsia"/>
          <w:bCs/>
        </w:rPr>
        <w:t>固定流程</w:t>
      </w:r>
    </w:p>
    <w:p>
      <w:pPr>
        <w:spacing w:before="93" w:after="93"/>
        <w:ind w:firstLine="420"/>
      </w:pPr>
      <w:r>
        <w:rPr>
          <w:rFonts w:hint="eastAsia"/>
        </w:rPr>
        <w:t>能够明确参与流程中的每个人或岗位，或者能够确认下一步审批人与申请人或前一步审批人的上下级关系，按照流程的设置自动流转。</w:t>
      </w:r>
    </w:p>
    <w:p>
      <w:pPr>
        <w:pStyle w:val="33"/>
      </w:pPr>
      <w:r>
        <w:rPr>
          <w:rFonts w:hint="eastAsia"/>
        </w:rPr>
        <w:t>动态决定下一步交由谁审批</w:t>
      </w:r>
    </w:p>
    <w:p>
      <w:pPr>
        <w:spacing w:before="93" w:after="93"/>
        <w:ind w:firstLine="420"/>
      </w:pPr>
      <w:r>
        <w:rPr>
          <w:rFonts w:hint="eastAsia"/>
        </w:rPr>
        <w:t>这种流程分为两种情况：一是申请人在发起流程时，直接设定这个流程应该先由谁审批，再由谁审批，直到结束，如工作沟通类的流程，只有申请人知道这个工作应该找谁沟通或知会；二是申请人在发起流程后，只知道“我”应该交给谁处理，而后续流程流转步骤就不知道了，当前申请人指定的审批人可以根据实际情况再将流程交给指定的下一个人员，一直到最后一个审批人认为不需要再找其他人员了，就可以结束流程。</w:t>
      </w:r>
    </w:p>
    <w:p>
      <w:pPr>
        <w:pStyle w:val="33"/>
      </w:pPr>
      <w:r>
        <w:rPr>
          <w:rFonts w:hint="eastAsia"/>
          <w:bCs/>
        </w:rPr>
        <w:t>协同工作流程</w:t>
      </w:r>
    </w:p>
    <w:p>
      <w:pPr>
        <w:spacing w:before="93" w:after="93"/>
        <w:ind w:firstLine="420"/>
      </w:pPr>
      <w:r>
        <w:rPr>
          <w:rFonts w:hint="eastAsia"/>
        </w:rPr>
        <w:t>在流转时，根据需要能够将当前工作指定给一个人或多个人，所有参与的人员均能够提出自己的意见并看到全部人员的意见，起到很好的沟通作用。</w:t>
      </w:r>
    </w:p>
    <w:p>
      <w:pPr>
        <w:pStyle w:val="33"/>
      </w:pPr>
      <w:r>
        <w:rPr>
          <w:rFonts w:hint="eastAsia"/>
        </w:rPr>
        <w:t>根据表单数据决定流程走向</w:t>
      </w:r>
    </w:p>
    <w:p>
      <w:pPr>
        <w:spacing w:before="93" w:after="93"/>
        <w:ind w:firstLine="420"/>
      </w:pPr>
      <w:r>
        <w:rPr>
          <w:rFonts w:hint="eastAsia"/>
        </w:rPr>
        <w:t>当前节点的下一步有多个后续分支跳转节点，具体选择哪个分支作为后续节点，由表单中的某项关键性数据决定。如：当表单中金额项大于10万时跳转到A节点，当金额项小于或等于10万时跳转到B节点。</w:t>
      </w:r>
    </w:p>
    <w:p>
      <w:pPr>
        <w:pStyle w:val="33"/>
      </w:pPr>
      <w:r>
        <w:rPr>
          <w:rFonts w:hint="eastAsia"/>
          <w:bCs/>
        </w:rPr>
        <w:t>分支流程</w:t>
      </w:r>
    </w:p>
    <w:p>
      <w:pPr>
        <w:spacing w:before="93" w:after="93"/>
        <w:ind w:firstLine="420"/>
      </w:pPr>
      <w:r>
        <w:rPr>
          <w:rFonts w:hint="eastAsia"/>
        </w:rPr>
        <w:t>根据审批的内容，人工决定选择哪条分支流程。如：在项目分配审批时，项目总监根据项目分布情况及当前项目信息决定该项目交由哪个项目组执行。</w:t>
      </w:r>
    </w:p>
    <w:p>
      <w:pPr>
        <w:pStyle w:val="33"/>
      </w:pPr>
      <w:r>
        <w:rPr>
          <w:rFonts w:hint="eastAsia"/>
          <w:bCs/>
        </w:rPr>
        <w:t>并发流程</w:t>
      </w:r>
    </w:p>
    <w:p>
      <w:pPr>
        <w:spacing w:before="93" w:after="93"/>
        <w:ind w:firstLine="420"/>
      </w:pPr>
      <w:r>
        <w:rPr>
          <w:rFonts w:hint="eastAsia"/>
        </w:rPr>
        <w:t>公司起草一个发文，需要各部门内部讨论并形成会签意见，各部门需要同时进行，便于节省会签时间。</w:t>
      </w:r>
    </w:p>
    <w:p>
      <w:pPr>
        <w:pStyle w:val="33"/>
      </w:pPr>
      <w:r>
        <w:rPr>
          <w:rFonts w:hint="eastAsia"/>
        </w:rPr>
        <w:t>在正常的流程中有不确定的环节</w:t>
      </w:r>
    </w:p>
    <w:p>
      <w:pPr>
        <w:spacing w:before="93" w:after="93"/>
        <w:ind w:firstLine="420"/>
      </w:pPr>
      <w:r>
        <w:rPr>
          <w:rFonts w:hint="eastAsia"/>
        </w:rPr>
        <w:t>公司制订了一个新的制度，大部分都已经确定下来由谁负责，但有一小部分还不是很明确。此时能否在进入这个环节时，由当前审批人临时指定下一步审批人。</w:t>
      </w:r>
    </w:p>
    <w:p>
      <w:pPr>
        <w:pStyle w:val="33"/>
      </w:pPr>
      <w:r>
        <w:rPr>
          <w:rFonts w:hint="eastAsia"/>
          <w:bCs/>
        </w:rPr>
        <w:t>对某些人员屏蔽流程</w:t>
      </w:r>
    </w:p>
    <w:p>
      <w:pPr>
        <w:spacing w:before="93" w:after="93"/>
        <w:ind w:firstLine="420"/>
        <w:rPr>
          <w:rFonts w:hint="eastAsia"/>
        </w:rPr>
      </w:pPr>
      <w:r>
        <w:rPr>
          <w:rFonts w:hint="eastAsia"/>
        </w:rPr>
        <w:t>在发通知时，公司的总经理有权直接发送任何通知，不需要走指定的审批流程。</w:t>
      </w:r>
    </w:p>
    <w:p>
      <w:pPr>
        <w:spacing w:before="93" w:after="93"/>
        <w:ind w:firstLine="420"/>
        <w:rPr>
          <w:rFonts w:hint="eastAsia"/>
        </w:rPr>
      </w:pPr>
    </w:p>
    <w:p>
      <w:pPr>
        <w:spacing w:before="93" w:after="93"/>
        <w:ind w:firstLine="420"/>
        <w:rPr>
          <w:b/>
        </w:rPr>
      </w:pPr>
      <w:r>
        <w:rPr>
          <w:rFonts w:hint="eastAsia"/>
          <w:b/>
        </w:rPr>
        <w:t>从审批人员的指定上，有如下场景：</w:t>
      </w:r>
    </w:p>
    <w:p>
      <w:pPr>
        <w:pStyle w:val="33"/>
      </w:pPr>
      <w:r>
        <w:rPr>
          <w:rFonts w:hint="eastAsia"/>
          <w:bCs/>
        </w:rPr>
        <w:t>审批人是固定人员</w:t>
      </w:r>
    </w:p>
    <w:p>
      <w:pPr>
        <w:spacing w:before="93" w:after="93"/>
        <w:ind w:firstLine="420"/>
      </w:pPr>
      <w:r>
        <w:rPr>
          <w:rFonts w:hint="eastAsia"/>
        </w:rPr>
        <w:t>对于某个步骤的审批人员是固定不变的，可以直接指定到人、或者该人员所在的岗位。</w:t>
      </w:r>
    </w:p>
    <w:p>
      <w:pPr>
        <w:pStyle w:val="33"/>
      </w:pPr>
      <w:r>
        <w:rPr>
          <w:rFonts w:hint="eastAsia"/>
          <w:bCs/>
        </w:rPr>
        <w:t>审批人员是</w:t>
      </w:r>
      <w:r>
        <w:rPr>
          <w:rFonts w:hint="eastAsia"/>
          <w:bCs/>
          <w:lang w:val="en-US" w:eastAsia="zh-CN"/>
        </w:rPr>
        <w:t>根据</w:t>
      </w:r>
      <w:r>
        <w:rPr>
          <w:rFonts w:hint="eastAsia"/>
          <w:bCs/>
        </w:rPr>
        <w:t>申请人或前一审批人决定的</w:t>
      </w:r>
    </w:p>
    <w:p>
      <w:pPr>
        <w:spacing w:before="93" w:after="93"/>
        <w:ind w:firstLine="420"/>
      </w:pPr>
      <w:r>
        <w:rPr>
          <w:rFonts w:hint="eastAsia"/>
        </w:rPr>
        <w:t>审批人员是申请人的领导，可能是直接领导，也可能是跨级领导。</w:t>
      </w:r>
    </w:p>
    <w:p>
      <w:pPr>
        <w:pStyle w:val="33"/>
      </w:pPr>
      <w:r>
        <w:rPr>
          <w:rFonts w:hint="eastAsia"/>
        </w:rPr>
        <w:t>审批人有多个候选人员</w:t>
      </w:r>
    </w:p>
    <w:p>
      <w:pPr>
        <w:spacing w:before="93" w:after="93"/>
        <w:ind w:firstLine="420"/>
      </w:pPr>
      <w:r>
        <w:rPr>
          <w:rFonts w:hint="eastAsia"/>
        </w:rPr>
        <w:t>如果设置的审批人中有多个人员，可能会有三种处理方式：一种是所有的人员都要审批，如会签；另一种是只要有一个人员处理就可以继续向下进行，如记账；三种是审批的人员达到所有审批人员数量的百分之多少的时候可以继续向下进行，如决议。</w:t>
      </w:r>
    </w:p>
    <w:p>
      <w:pPr>
        <w:pStyle w:val="33"/>
      </w:pPr>
      <w:r>
        <w:rPr>
          <w:rFonts w:hint="eastAsia"/>
        </w:rPr>
        <w:t>审批人从一组人员中选择</w:t>
      </w:r>
    </w:p>
    <w:p>
      <w:pPr>
        <w:spacing w:before="93" w:after="93"/>
        <w:ind w:firstLine="420"/>
      </w:pPr>
      <w:r>
        <w:rPr>
          <w:rFonts w:hint="eastAsia"/>
        </w:rPr>
        <w:t>下一步审批人由一组人员组成，如公司中层管理人员。上一步审批人根据实际情况在组中选择下一步具体人员。</w:t>
      </w:r>
    </w:p>
    <w:p>
      <w:pPr>
        <w:spacing w:before="93" w:after="93"/>
        <w:ind w:firstLine="420"/>
      </w:pPr>
    </w:p>
    <w:p>
      <w:pPr>
        <w:spacing w:before="93" w:after="93"/>
        <w:ind w:firstLine="420"/>
        <w:rPr>
          <w:b/>
        </w:rPr>
      </w:pPr>
      <w:r>
        <w:rPr>
          <w:rFonts w:hint="eastAsia"/>
          <w:b/>
        </w:rPr>
        <w:t>从表单数据处理上，有如下场景：</w:t>
      </w:r>
    </w:p>
    <w:p>
      <w:pPr>
        <w:pStyle w:val="33"/>
      </w:pPr>
      <w:r>
        <w:rPr>
          <w:rFonts w:hint="eastAsia"/>
        </w:rPr>
        <w:t>表单初始数据取得</w:t>
      </w:r>
    </w:p>
    <w:p>
      <w:pPr>
        <w:pStyle w:val="33"/>
        <w:numPr>
          <w:ilvl w:val="0"/>
          <w:numId w:val="0"/>
        </w:numPr>
        <w:ind w:left="420"/>
      </w:pPr>
      <w:r>
        <w:rPr>
          <w:rFonts w:hint="eastAsia"/>
        </w:rPr>
        <w:t>需要把当前申请人的基本信息直接取出写在表单上。</w:t>
      </w:r>
    </w:p>
    <w:p>
      <w:pPr>
        <w:pStyle w:val="33"/>
      </w:pPr>
      <w:r>
        <w:rPr>
          <w:rFonts w:hint="eastAsia"/>
        </w:rPr>
        <w:t>表单数据取得</w:t>
      </w:r>
    </w:p>
    <w:p>
      <w:pPr>
        <w:pStyle w:val="33"/>
        <w:numPr>
          <w:ilvl w:val="0"/>
          <w:numId w:val="0"/>
        </w:numPr>
        <w:ind w:left="420"/>
      </w:pPr>
      <w:r>
        <w:rPr>
          <w:rFonts w:hint="eastAsia"/>
        </w:rPr>
        <w:t>根据当前录入的项目单号，能够自动取到这个项目的相关信息，不需要再次人工录入。</w:t>
      </w:r>
    </w:p>
    <w:p>
      <w:pPr>
        <w:pStyle w:val="33"/>
      </w:pPr>
      <w:r>
        <w:rPr>
          <w:rFonts w:hint="eastAsia"/>
        </w:rPr>
        <w:t>表单数据自动统计</w:t>
      </w:r>
    </w:p>
    <w:p>
      <w:pPr>
        <w:pStyle w:val="33"/>
        <w:numPr>
          <w:ilvl w:val="0"/>
          <w:numId w:val="0"/>
        </w:numPr>
        <w:ind w:left="420"/>
      </w:pPr>
      <w:r>
        <w:rPr>
          <w:rFonts w:hint="eastAsia"/>
        </w:rPr>
        <w:t>在报销单上有很多报销项目，能够根据每个项目的报销金额自动累加出总金额来。</w:t>
      </w:r>
    </w:p>
    <w:p>
      <w:pPr>
        <w:pStyle w:val="33"/>
      </w:pPr>
      <w:r>
        <w:rPr>
          <w:rFonts w:hint="eastAsia"/>
        </w:rPr>
        <w:t>表单自动编号</w:t>
      </w:r>
    </w:p>
    <w:p>
      <w:pPr>
        <w:pStyle w:val="33"/>
        <w:numPr>
          <w:ilvl w:val="0"/>
          <w:numId w:val="0"/>
        </w:numPr>
        <w:ind w:left="420"/>
      </w:pPr>
      <w:r>
        <w:rPr>
          <w:rFonts w:hint="eastAsia"/>
        </w:rPr>
        <w:t>每张表单自动编写流水号，并且以后能够在系统中根据流水号查询到表单。</w:t>
      </w:r>
    </w:p>
    <w:p>
      <w:pPr>
        <w:pStyle w:val="33"/>
      </w:pPr>
      <w:r>
        <w:rPr>
          <w:rFonts w:hint="eastAsia"/>
        </w:rPr>
        <w:t>表单数据的查看与修改</w:t>
      </w:r>
    </w:p>
    <w:p>
      <w:pPr>
        <w:spacing w:before="93" w:after="93"/>
        <w:ind w:firstLine="420"/>
      </w:pPr>
      <w:r>
        <w:rPr>
          <w:rFonts w:hint="eastAsia"/>
        </w:rPr>
        <w:t>审批单上面的信息，有的审批人是可以修改的，有的审批人只能查看不能改，有的地方不允许部分人员查看到具体内容。如：销售单上面的客户联系方式，只有申请人和财务人员能看到，其他审批人员不可以看到这些信息；成交金额只有申请人能够填写，所有审批人都不可以修改。</w:t>
      </w:r>
    </w:p>
    <w:p>
      <w:pPr>
        <w:pStyle w:val="33"/>
      </w:pPr>
      <w:r>
        <w:rPr>
          <w:rFonts w:hint="eastAsia"/>
        </w:rPr>
        <w:t>审批通过后，能够自动把数据传到第三方系统里</w:t>
      </w:r>
    </w:p>
    <w:p>
      <w:pPr>
        <w:spacing w:before="93" w:after="93"/>
        <w:ind w:firstLine="420"/>
      </w:pPr>
      <w:r>
        <w:rPr>
          <w:rFonts w:hint="eastAsia"/>
        </w:rPr>
        <w:t>对报销单来说，我们希望在报销审批通过后，能够自动写入到财务系统生成临时凭证。财务人员只要到财务系统中确认一下就能够生成正式凭证。</w:t>
      </w:r>
    </w:p>
    <w:p>
      <w:pPr>
        <w:pStyle w:val="33"/>
        <w:numPr>
          <w:ilvl w:val="0"/>
          <w:numId w:val="0"/>
        </w:numPr>
        <w:ind w:left="420"/>
      </w:pPr>
    </w:p>
    <w:p>
      <w:pPr>
        <w:spacing w:before="93" w:after="93"/>
        <w:ind w:firstLine="420"/>
        <w:rPr>
          <w:b/>
        </w:rPr>
      </w:pPr>
      <w:r>
        <w:rPr>
          <w:rFonts w:hint="eastAsia"/>
          <w:b/>
        </w:rPr>
        <w:t>从文件处理上，有如下场景：</w:t>
      </w:r>
    </w:p>
    <w:p>
      <w:pPr>
        <w:pStyle w:val="33"/>
      </w:pPr>
      <w:r>
        <w:rPr>
          <w:rFonts w:hint="eastAsia"/>
        </w:rPr>
        <w:t>能够在线修改文件内容</w:t>
      </w:r>
    </w:p>
    <w:p>
      <w:pPr>
        <w:spacing w:before="93" w:after="93"/>
        <w:ind w:firstLine="420"/>
      </w:pPr>
      <w:r>
        <w:rPr>
          <w:rFonts w:hint="eastAsia"/>
        </w:rPr>
        <w:t>走审批的重点就是为了修改文件内容，需要能够看到每个人的修改痕迹。在审批结束后，能够清除痕迹，实现在线改稿的功能。</w:t>
      </w:r>
    </w:p>
    <w:p>
      <w:pPr>
        <w:pStyle w:val="33"/>
      </w:pPr>
      <w:r>
        <w:rPr>
          <w:rFonts w:hint="eastAsia"/>
        </w:rPr>
        <w:t>能够上传附件文件，附件文件能够编辑</w:t>
      </w:r>
    </w:p>
    <w:p>
      <w:pPr>
        <w:spacing w:before="93" w:after="93"/>
        <w:ind w:firstLine="420"/>
      </w:pPr>
      <w:r>
        <w:rPr>
          <w:rFonts w:hint="eastAsia"/>
        </w:rPr>
        <w:t>能够上传多个文件，并且支持在线编辑。</w:t>
      </w:r>
    </w:p>
    <w:p>
      <w:pPr>
        <w:pStyle w:val="33"/>
      </w:pPr>
      <w:r>
        <w:rPr>
          <w:rFonts w:hint="eastAsia"/>
        </w:rPr>
        <w:t>能够给文件套红</w:t>
      </w:r>
    </w:p>
    <w:p>
      <w:pPr>
        <w:spacing w:before="93" w:after="93"/>
        <w:ind w:firstLine="420"/>
      </w:pPr>
      <w:r>
        <w:rPr>
          <w:rFonts w:hint="eastAsia"/>
        </w:rPr>
        <w:t>文件编辑、修改完成后，能够在分发之前增加套红。</w:t>
      </w:r>
    </w:p>
    <w:p>
      <w:pPr>
        <w:pStyle w:val="33"/>
      </w:pPr>
      <w:r>
        <w:rPr>
          <w:rFonts w:hint="eastAsia"/>
        </w:rPr>
        <w:t>能够把表单上的数据自动写到文件里面</w:t>
      </w:r>
    </w:p>
    <w:p>
      <w:pPr>
        <w:spacing w:before="93" w:after="93"/>
        <w:ind w:firstLine="420"/>
      </w:pPr>
      <w:r>
        <w:rPr>
          <w:rFonts w:hint="eastAsia"/>
        </w:rPr>
        <w:t>对于销售合同，合同的条款是固定的。我们希望把合同里面要填写的内容抽出来做成一个审批单，在审批通过后，能够把这些内容自动填写到合同里面。</w:t>
      </w:r>
    </w:p>
    <w:p>
      <w:pPr>
        <w:pStyle w:val="33"/>
        <w:numPr>
          <w:ilvl w:val="0"/>
          <w:numId w:val="0"/>
        </w:numPr>
        <w:ind w:left="420"/>
      </w:pPr>
    </w:p>
    <w:p>
      <w:pPr>
        <w:spacing w:before="93" w:after="93"/>
        <w:ind w:firstLine="420"/>
        <w:rPr>
          <w:b/>
        </w:rPr>
      </w:pPr>
      <w:r>
        <w:rPr>
          <w:rFonts w:hint="eastAsia"/>
          <w:b/>
        </w:rPr>
        <w:t>对于其它方面：</w:t>
      </w:r>
    </w:p>
    <w:p>
      <w:pPr>
        <w:pStyle w:val="33"/>
      </w:pPr>
      <w:r>
        <w:rPr>
          <w:rFonts w:hint="eastAsia"/>
        </w:rPr>
        <w:t>代理人机制，当审批人外出或休假，可以设置代理人代替其处理文件</w:t>
      </w:r>
    </w:p>
    <w:p>
      <w:pPr>
        <w:pStyle w:val="33"/>
        <w:numPr>
          <w:ilvl w:val="0"/>
          <w:numId w:val="0"/>
        </w:numPr>
        <w:ind w:left="420"/>
      </w:pPr>
      <w:r>
        <w:rPr>
          <w:rFonts w:hint="eastAsia"/>
        </w:rPr>
        <w:t>当领导外出或休假时，设置其副职代理。文件自动流转到代理人员处进行处理。</w:t>
      </w:r>
    </w:p>
    <w:p>
      <w:pPr>
        <w:pStyle w:val="33"/>
      </w:pPr>
      <w:r>
        <w:rPr>
          <w:rFonts w:hint="eastAsia"/>
        </w:rPr>
        <w:t>系统通过提醒消息、邮件等通知相关处理人，当流程结束时还可以自动通知提交人</w:t>
      </w:r>
    </w:p>
    <w:p>
      <w:pPr>
        <w:pStyle w:val="33"/>
        <w:numPr>
          <w:ilvl w:val="0"/>
          <w:numId w:val="0"/>
        </w:numPr>
        <w:ind w:left="420"/>
      </w:pPr>
      <w:r>
        <w:rPr>
          <w:rFonts w:hint="eastAsia"/>
        </w:rPr>
        <w:t>流程完成时，系统会发送消息给发起人，一般情况下发起人是最关注流程状态的。</w:t>
      </w:r>
    </w:p>
    <w:p>
      <w:pPr>
        <w:pStyle w:val="33"/>
      </w:pPr>
      <w:r>
        <w:rPr>
          <w:rFonts w:hint="eastAsia"/>
        </w:rPr>
        <w:t>限制每个步骤的审批时间</w:t>
      </w:r>
    </w:p>
    <w:p>
      <w:pPr>
        <w:pStyle w:val="33"/>
        <w:numPr>
          <w:ilvl w:val="0"/>
          <w:numId w:val="0"/>
        </w:numPr>
        <w:ind w:left="420"/>
        <w:rPr>
          <w:rFonts w:hint="eastAsia" w:eastAsia="微软雅黑"/>
          <w:lang w:eastAsia="zh-CN"/>
        </w:rPr>
      </w:pPr>
      <w:r>
        <w:rPr>
          <w:rFonts w:hint="eastAsia"/>
        </w:rPr>
        <w:t>给审批文件或审批步骤设定一个时间期限，当审批超期时可以通过系统消息提醒审批人。</w:t>
      </w:r>
    </w:p>
    <w:p>
      <w:pPr>
        <w:pStyle w:val="4"/>
        <w:spacing w:before="93" w:after="93"/>
        <w:ind w:left="425" w:leftChars="0" w:firstLineChars="0"/>
      </w:pPr>
      <w:bookmarkStart w:id="6" w:name="_Toc9430"/>
      <w:r>
        <w:rPr>
          <w:rFonts w:hint="eastAsia"/>
        </w:rPr>
        <w:t>常见问题</w:t>
      </w:r>
      <w:bookmarkEnd w:id="6"/>
    </w:p>
    <w:p>
      <w:pPr>
        <w:pStyle w:val="33"/>
        <w:numPr>
          <w:ilvl w:val="0"/>
          <w:numId w:val="0"/>
        </w:numPr>
        <w:ind w:left="105" w:leftChars="50" w:firstLine="420" w:firstLineChars="200"/>
      </w:pPr>
      <w:r>
        <w:rPr>
          <w:rFonts w:hint="eastAsia"/>
        </w:rPr>
        <w:t>以某大型建筑企业为例，该企业是一家集土木工程建筑、勘察科研设计、房地产开发于一体的大型企业集团，是省内知名企业，具有先进的施工技术及一流的施工队伍。</w:t>
      </w:r>
    </w:p>
    <w:p>
      <w:pPr>
        <w:pStyle w:val="33"/>
        <w:numPr>
          <w:ilvl w:val="0"/>
          <w:numId w:val="0"/>
        </w:numPr>
        <w:ind w:left="105" w:leftChars="50" w:firstLine="420" w:firstLineChars="200"/>
      </w:pPr>
      <w:r>
        <w:rPr>
          <w:rFonts w:hint="eastAsia"/>
        </w:rPr>
        <w:t>随着企业不断发展壮大，企业内部的一些管理问题逐渐显现。作为一家以建筑施工为主体的企业，施工组织设计及专项施工方案的审批是施工过程中的一个重要环节。在审批过程中，基层单位将施工组织设计上报之后，需要在一个部门审批完，之后再流转到另一个部门，这样依此流转，直到最后审批完成。由于对这些内容的审批需要几个部门的共同完成，因此往往会延迟很长时间。如果在此过程中发现一些问题，还需要重新返给基层单位进行修改完善，然后再进行上述流程环节，这样导致了整体工作效率大大降低。基层单位抱怨审批部门审批太慢，耽误工期，审批部门则发牢骚指责审批东西太多，并且其他部门审批太慢，轮到自己这里自然也就会延迟了，总之，各有各的理，对于这种现象，该企业管理人员也采取了很多方法，如加强对审批人员的考核，在规定的时间内审核完成，但是效果依然不明显，审批过程还是拉了很长的战线。到底问题的根源在哪里呢？如何有效地加以解决呢？该企业的管理人员陷入深深的思索之中。</w:t>
      </w:r>
    </w:p>
    <w:p>
      <w:pPr>
        <w:widowControl/>
        <w:adjustRightInd/>
        <w:snapToGrid/>
        <w:spacing w:beforeLines="0" w:afterLines="0" w:line="240" w:lineRule="auto"/>
        <w:ind w:firstLine="0" w:firstLineChars="0"/>
        <w:jc w:val="left"/>
      </w:pPr>
      <w:r>
        <w:br w:type="page"/>
      </w:r>
    </w:p>
    <w:p>
      <w:pPr>
        <w:pStyle w:val="2"/>
        <w:widowControl/>
        <w:spacing w:after="249"/>
        <w:ind w:left="425" w:leftChars="0" w:firstLineChars="0"/>
        <w:jc w:val="left"/>
      </w:pPr>
      <w:bookmarkStart w:id="7" w:name="_Toc3243"/>
      <w:r>
        <w:rPr>
          <w:rFonts w:hint="eastAsia"/>
        </w:rPr>
        <w:t>于</w:t>
      </w:r>
      <w:r>
        <w:rPr>
          <w:rFonts w:hint="eastAsia" w:eastAsia="微软雅黑"/>
          <w:bCs w:val="0"/>
        </w:rPr>
        <w:t>高效</w:t>
      </w:r>
      <w:r>
        <w:rPr>
          <w:rFonts w:hint="eastAsia"/>
        </w:rPr>
        <w:t>组织管理的价值</w:t>
      </w:r>
      <w:bookmarkEnd w:id="7"/>
    </w:p>
    <w:p>
      <w:pPr>
        <w:pStyle w:val="32"/>
        <w:numPr>
          <w:ilvl w:val="0"/>
          <w:numId w:val="0"/>
        </w:numPr>
        <w:spacing w:before="93" w:after="93"/>
        <w:ind w:firstLine="420" w:firstLineChars="200"/>
      </w:pPr>
      <w:r>
        <w:rPr>
          <w:rFonts w:hint="eastAsia"/>
        </w:rPr>
        <w:t>从上述问题可以看出，很多时间和精力都被浪费在内部沟通与协调上。处理过程效率低下，容易导致市场和客户反应滞后。对于没有规范业务流程的某些业务，责任不明确，容易造成管理上的真空。对于有规范业务流程的业务，因缺乏处理过程的纪录和跟踪，并且人为干扰的因素在实际操作过程中大量存在，以致虽有了标准但无法按标准办事；处理时间、费用、效率无法控制和度量；关键业务流转常常因各种因素而造成时间黑洞和延误；过度依赖于纸张，不仅浪费而且拖慢了组织发展步伐。</w:t>
      </w:r>
    </w:p>
    <w:p>
      <w:pPr>
        <w:pStyle w:val="32"/>
        <w:numPr>
          <w:ilvl w:val="0"/>
          <w:numId w:val="0"/>
        </w:numPr>
        <w:spacing w:before="93" w:after="93"/>
        <w:ind w:firstLine="424" w:firstLineChars="202"/>
        <w:rPr>
          <w:rFonts w:hint="eastAsia"/>
        </w:rPr>
      </w:pPr>
      <w:r>
        <w:rPr>
          <w:rFonts w:hint="eastAsia"/>
        </w:rPr>
        <w:t>通过华天动力智慧流程与审批管理平台，实现工作流程自动化</w:t>
      </w:r>
      <w:r>
        <w:rPr>
          <w:rFonts w:hint="eastAsia"/>
        </w:rPr>
        <w:t>，带来的好处是非常明显的，包括提高运营效率、改善资源利用、提高灵活性和适应性、提高工作效率、集中精力处理核心业务、跟踪业务处理过程、量化考核业务处理的效率、减少浪费、增加利润、充分发挥现有网络资源的作用。OA办公系统将改善企事业单位内（外）部流程、优化并合理利用资源、减少人为差错和延误，提高</w:t>
      </w:r>
      <w:r>
        <w:rPr>
          <w:rFonts w:hint="eastAsia"/>
          <w:lang w:val="en-US" w:eastAsia="zh-CN"/>
        </w:rPr>
        <w:t>办公效率</w:t>
      </w:r>
      <w:r>
        <w:rPr>
          <w:rFonts w:hint="eastAsia"/>
        </w:rPr>
        <w:t>。</w:t>
      </w:r>
    </w:p>
    <w:p>
      <w:pPr>
        <w:pStyle w:val="32"/>
        <w:numPr>
          <w:ilvl w:val="0"/>
          <w:numId w:val="0"/>
        </w:numPr>
        <w:spacing w:before="93" w:after="93"/>
        <w:rPr>
          <w:rFonts w:hint="eastAsia"/>
        </w:rPr>
      </w:pPr>
    </w:p>
    <w:p>
      <w:pPr>
        <w:spacing w:before="93" w:after="93"/>
        <w:ind w:firstLine="420"/>
        <w:rPr>
          <w:b/>
        </w:rPr>
      </w:pPr>
      <w:r>
        <w:rPr>
          <w:rFonts w:hint="eastAsia"/>
          <w:b/>
        </w:rPr>
        <w:t>系统提供的</w:t>
      </w:r>
      <w:r>
        <w:rPr>
          <w:rFonts w:hint="eastAsia"/>
          <w:b/>
          <w:lang w:eastAsia="zh-CN"/>
        </w:rPr>
        <w:t>智慧流程</w:t>
      </w:r>
      <w:r>
        <w:rPr>
          <w:rFonts w:hint="eastAsia"/>
          <w:b/>
        </w:rPr>
        <w:t>和灵动节点的组合使用能够实现企事业单位全部的流程形式。</w:t>
      </w:r>
    </w:p>
    <w:p>
      <w:pPr>
        <w:spacing w:before="93" w:after="93"/>
        <w:ind w:firstLine="420"/>
        <w:rPr>
          <w:b/>
        </w:rPr>
        <w:sectPr>
          <w:footerReference r:id="rId15" w:type="default"/>
          <w:pgSz w:w="11906" w:h="16838"/>
          <w:pgMar w:top="1559" w:right="896" w:bottom="777" w:left="896" w:header="851" w:footer="397" w:gutter="0"/>
          <w:pgNumType w:start="1"/>
          <w:cols w:space="425" w:num="1"/>
          <w:docGrid w:type="lines" w:linePitch="312" w:charSpace="0"/>
        </w:sectPr>
      </w:pPr>
    </w:p>
    <w:p>
      <w:pPr>
        <w:spacing w:before="93" w:after="93"/>
        <w:ind w:firstLine="420"/>
        <w:rPr>
          <w:b/>
        </w:rPr>
      </w:pPr>
      <w:r>
        <w:rPr>
          <w:rFonts w:hint="eastAsia"/>
          <w:b/>
          <w:lang w:eastAsia="zh-CN"/>
        </w:rPr>
        <w:t>智慧流程</w:t>
      </w:r>
      <w:r>
        <w:rPr>
          <w:rFonts w:hint="eastAsia"/>
          <w:b/>
        </w:rPr>
        <w:t>包括：</w:t>
      </w:r>
    </w:p>
    <w:p>
      <w:pPr>
        <w:pStyle w:val="33"/>
        <w:rPr>
          <w:bCs/>
        </w:rPr>
      </w:pPr>
      <w:r>
        <w:rPr>
          <w:rFonts w:hint="eastAsia"/>
          <w:bCs/>
        </w:rPr>
        <w:t xml:space="preserve">固定流程 </w:t>
      </w:r>
    </w:p>
    <w:p>
      <w:pPr>
        <w:pStyle w:val="33"/>
        <w:rPr>
          <w:bCs/>
        </w:rPr>
      </w:pPr>
      <w:r>
        <w:rPr>
          <w:rFonts w:hint="eastAsia"/>
          <w:bCs/>
        </w:rPr>
        <w:t xml:space="preserve">自由流程 </w:t>
      </w:r>
    </w:p>
    <w:p>
      <w:pPr>
        <w:pStyle w:val="33"/>
        <w:rPr>
          <w:bCs/>
        </w:rPr>
      </w:pPr>
      <w:r>
        <w:rPr>
          <w:rFonts w:hint="eastAsia"/>
          <w:bCs/>
        </w:rPr>
        <w:t xml:space="preserve">自由顺序流程 </w:t>
      </w:r>
    </w:p>
    <w:p>
      <w:pPr>
        <w:pStyle w:val="33"/>
        <w:rPr>
          <w:bCs/>
        </w:rPr>
      </w:pPr>
      <w:r>
        <w:rPr>
          <w:rFonts w:hint="eastAsia"/>
          <w:bCs/>
        </w:rPr>
        <w:t xml:space="preserve">协同流程 </w:t>
      </w:r>
    </w:p>
    <w:p>
      <w:pPr>
        <w:pStyle w:val="33"/>
        <w:rPr>
          <w:bCs/>
        </w:rPr>
      </w:pPr>
      <w:r>
        <w:rPr>
          <w:rFonts w:hint="eastAsia"/>
          <w:bCs/>
        </w:rPr>
        <w:t xml:space="preserve">条件流程 </w:t>
      </w:r>
    </w:p>
    <w:p>
      <w:pPr>
        <w:pStyle w:val="33"/>
        <w:rPr>
          <w:bCs/>
        </w:rPr>
      </w:pPr>
      <w:r>
        <w:rPr>
          <w:rFonts w:hint="eastAsia"/>
          <w:bCs/>
        </w:rPr>
        <w:t xml:space="preserve">分支流程 </w:t>
      </w:r>
    </w:p>
    <w:p>
      <w:pPr>
        <w:pStyle w:val="33"/>
        <w:rPr>
          <w:bCs/>
        </w:rPr>
      </w:pPr>
      <w:r>
        <w:rPr>
          <w:rFonts w:hint="eastAsia"/>
          <w:bCs/>
        </w:rPr>
        <w:t xml:space="preserve">并发流程 </w:t>
      </w:r>
    </w:p>
    <w:p>
      <w:pPr>
        <w:pStyle w:val="33"/>
        <w:rPr>
          <w:bCs/>
        </w:rPr>
      </w:pPr>
      <w:r>
        <w:rPr>
          <w:rFonts w:hint="eastAsia"/>
          <w:bCs/>
        </w:rPr>
        <w:t xml:space="preserve">半自由流程 </w:t>
      </w:r>
    </w:p>
    <w:p>
      <w:pPr>
        <w:pStyle w:val="33"/>
        <w:rPr>
          <w:bCs/>
        </w:rPr>
      </w:pPr>
      <w:r>
        <w:rPr>
          <w:rFonts w:hint="eastAsia"/>
          <w:bCs/>
        </w:rPr>
        <w:t xml:space="preserve">无流程 </w:t>
      </w:r>
    </w:p>
    <w:p>
      <w:pPr>
        <w:spacing w:before="93" w:after="93"/>
        <w:ind w:firstLine="420"/>
        <w:rPr>
          <w:b/>
        </w:rPr>
      </w:pPr>
      <w:r>
        <w:rPr>
          <w:rFonts w:hint="eastAsia"/>
          <w:b/>
        </w:rPr>
        <w:t>灵动节点包括：</w:t>
      </w:r>
    </w:p>
    <w:p>
      <w:pPr>
        <w:pStyle w:val="33"/>
        <w:rPr>
          <w:bCs/>
        </w:rPr>
      </w:pPr>
      <w:r>
        <w:rPr>
          <w:rFonts w:hint="eastAsia"/>
          <w:bCs/>
        </w:rPr>
        <w:t xml:space="preserve">承办节点 </w:t>
      </w:r>
    </w:p>
    <w:p>
      <w:pPr>
        <w:pStyle w:val="33"/>
        <w:rPr>
          <w:bCs/>
        </w:rPr>
      </w:pPr>
      <w:r>
        <w:rPr>
          <w:rFonts w:hint="eastAsia"/>
          <w:bCs/>
        </w:rPr>
        <w:t xml:space="preserve">直到节点 </w:t>
      </w:r>
    </w:p>
    <w:p>
      <w:pPr>
        <w:pStyle w:val="33"/>
        <w:rPr>
          <w:bCs/>
        </w:rPr>
      </w:pPr>
      <w:r>
        <w:rPr>
          <w:rFonts w:hint="eastAsia"/>
          <w:bCs/>
        </w:rPr>
        <w:t xml:space="preserve">秘书节点 </w:t>
      </w:r>
    </w:p>
    <w:p>
      <w:pPr>
        <w:pStyle w:val="33"/>
        <w:rPr>
          <w:bCs/>
        </w:rPr>
      </w:pPr>
      <w:r>
        <w:rPr>
          <w:rFonts w:hint="eastAsia"/>
          <w:bCs/>
        </w:rPr>
        <w:t xml:space="preserve">自由节点 </w:t>
      </w:r>
    </w:p>
    <w:p>
      <w:pPr>
        <w:pStyle w:val="33"/>
        <w:rPr>
          <w:bCs/>
        </w:rPr>
      </w:pPr>
      <w:r>
        <w:rPr>
          <w:rFonts w:hint="eastAsia"/>
          <w:bCs/>
        </w:rPr>
        <w:t xml:space="preserve">自由顺序节点 </w:t>
      </w:r>
    </w:p>
    <w:p>
      <w:pPr>
        <w:spacing w:before="93" w:after="93"/>
        <w:ind w:firstLine="420"/>
        <w:rPr>
          <w:b/>
        </w:rPr>
      </w:pPr>
    </w:p>
    <w:p>
      <w:pPr>
        <w:spacing w:before="93" w:after="93"/>
        <w:ind w:firstLine="420"/>
        <w:rPr>
          <w:b/>
        </w:rPr>
      </w:pPr>
    </w:p>
    <w:p>
      <w:pPr>
        <w:spacing w:before="93" w:after="93"/>
        <w:ind w:firstLine="420"/>
        <w:rPr>
          <w:b/>
        </w:rPr>
      </w:pPr>
    </w:p>
    <w:p>
      <w:pPr>
        <w:spacing w:before="93" w:after="93"/>
        <w:ind w:firstLine="420"/>
        <w:rPr>
          <w:b/>
        </w:rPr>
      </w:pPr>
    </w:p>
    <w:p>
      <w:pPr>
        <w:spacing w:before="93" w:after="93"/>
        <w:ind w:firstLine="200" w:firstLineChars="95"/>
        <w:rPr>
          <w:b/>
        </w:rPr>
        <w:sectPr>
          <w:type w:val="continuous"/>
          <w:pgSz w:w="11906" w:h="16838"/>
          <w:pgMar w:top="1559" w:right="896" w:bottom="777" w:left="896" w:header="851" w:footer="992" w:gutter="0"/>
          <w:cols w:space="425" w:num="2" w:sep="1"/>
          <w:docGrid w:type="lines" w:linePitch="312" w:charSpace="0"/>
        </w:sectPr>
      </w:pPr>
    </w:p>
    <w:p>
      <w:pPr>
        <w:spacing w:before="93" w:after="93"/>
        <w:ind w:firstLine="0" w:firstLineChars="0"/>
        <w:rPr>
          <w:b/>
        </w:rPr>
      </w:pPr>
    </w:p>
    <w:p>
      <w:pPr>
        <w:spacing w:before="93" w:after="93"/>
        <w:ind w:firstLine="420"/>
        <w:rPr>
          <w:b/>
        </w:rPr>
      </w:pPr>
      <w:r>
        <w:rPr>
          <w:rFonts w:hint="eastAsia"/>
          <w:b/>
        </w:rPr>
        <w:t>审批人员的定义灵活多变，支持多种形式。</w:t>
      </w:r>
    </w:p>
    <w:p>
      <w:pPr>
        <w:pStyle w:val="33"/>
      </w:pPr>
      <w:r>
        <w:rPr>
          <w:rFonts w:hint="eastAsia"/>
          <w:bCs/>
        </w:rPr>
        <w:t>直接指定具体人员，审批时只能由该用户或该用户指定的代理人员审批。</w:t>
      </w:r>
    </w:p>
    <w:p>
      <w:pPr>
        <w:pStyle w:val="33"/>
      </w:pPr>
      <w:r>
        <w:rPr>
          <w:rFonts w:hint="eastAsia"/>
          <w:bCs/>
        </w:rPr>
        <w:t>直接指定具体岗位，审批时只能由该岗位下的人员或指定的代理人员审批。</w:t>
      </w:r>
    </w:p>
    <w:p>
      <w:pPr>
        <w:pStyle w:val="33"/>
      </w:pPr>
      <w:r>
        <w:rPr>
          <w:rFonts w:hint="eastAsia"/>
          <w:bCs/>
        </w:rPr>
        <w:t>指定相对岗位。可以以申请人或前步审批人为对象，找到他的直属上级或跨级领导审批。</w:t>
      </w:r>
    </w:p>
    <w:p>
      <w:pPr>
        <w:pStyle w:val="33"/>
      </w:pPr>
      <w:r>
        <w:rPr>
          <w:rFonts w:hint="eastAsia"/>
          <w:bCs/>
        </w:rPr>
        <w:t>按人事汇报线审批。根据人事档案中指定的汇报线，由当前人员的上级领导审批。</w:t>
      </w:r>
    </w:p>
    <w:p>
      <w:pPr>
        <w:pStyle w:val="33"/>
      </w:pPr>
      <w:r>
        <w:rPr>
          <w:rFonts w:hint="eastAsia"/>
        </w:rPr>
        <w:t>按表单指定人员审批。在审批过程中，根据实际业务需要，在表单上选取人员，由选取的人员审批。</w:t>
      </w:r>
    </w:p>
    <w:p>
      <w:pPr>
        <w:pStyle w:val="33"/>
      </w:pPr>
      <w:r>
        <w:rPr>
          <w:rFonts w:hint="eastAsia"/>
        </w:rPr>
        <w:t>根据事先设定规则指定审批人员。在诸如项目审批时，一个项目涉及的审批可能会有很多个，我们只需要项目经理审批，此时，无需进行选取，系统会按规则，自动找到该指定人员进行审批。</w:t>
      </w:r>
    </w:p>
    <w:p>
      <w:pPr>
        <w:pStyle w:val="33"/>
      </w:pPr>
      <w:r>
        <w:rPr>
          <w:rFonts w:hint="eastAsia"/>
        </w:rPr>
        <w:t>下步审批人员不确认，可以由前步审批人直接选择人员审批。选择的人员可以是当前系统中全体人员，也可以是在审批流程设置时指定的某个范围的人员。</w:t>
      </w:r>
    </w:p>
    <w:p>
      <w:pPr>
        <w:pStyle w:val="33"/>
      </w:pPr>
      <w:r>
        <w:rPr>
          <w:rFonts w:hint="eastAsia"/>
        </w:rPr>
        <w:t>支持单人审批和多人审批。如果当前审批步骤有</w:t>
      </w:r>
      <w:r>
        <w:rPr>
          <w:rFonts w:hint="eastAsia"/>
          <w:lang w:val="en-US" w:eastAsia="zh-CN"/>
        </w:rPr>
        <w:t>多</w:t>
      </w:r>
      <w:r>
        <w:rPr>
          <w:rFonts w:hint="eastAsia"/>
        </w:rPr>
        <w:t>个审批人员时，可以指定只需要一个人审批同意后直接向下流转还是需要全部人员都审批通过后再向下流转，或是审批人数达到百分之多少后即可向下流转。</w:t>
      </w:r>
    </w:p>
    <w:p>
      <w:pPr>
        <w:spacing w:before="93" w:after="93"/>
        <w:ind w:firstLine="420"/>
      </w:pPr>
    </w:p>
    <w:p>
      <w:pPr>
        <w:spacing w:before="93" w:after="93"/>
        <w:ind w:firstLine="420"/>
        <w:rPr>
          <w:b/>
        </w:rPr>
      </w:pPr>
      <w:r>
        <w:rPr>
          <w:rFonts w:hint="eastAsia"/>
          <w:b/>
        </w:rPr>
        <w:t>表单的数据采用数据库处理机制，在后台存入实体数据表，不仅数据能够支持各种查询还可以进行二次业务扩展。</w:t>
      </w:r>
    </w:p>
    <w:p>
      <w:pPr>
        <w:pStyle w:val="33"/>
      </w:pPr>
      <w:r>
        <w:rPr>
          <w:rFonts w:hint="eastAsia"/>
        </w:rPr>
        <w:t>系统能够自动取得申请人的信息、当前审批人的信息、当前系统的信息等多项内容，使用户在填写申请单时更简单、方便、迅捷。</w:t>
      </w:r>
    </w:p>
    <w:p>
      <w:pPr>
        <w:pStyle w:val="33"/>
      </w:pPr>
      <w:r>
        <w:rPr>
          <w:rFonts w:hint="eastAsia"/>
        </w:rPr>
        <w:t>系统支持多种数据关联形式，既能够在输入时提供模糊查询列表，方便用户迅速选择式录入，还提供了查询按钮的关联方式，根据</w:t>
      </w:r>
      <w:r>
        <w:rPr>
          <w:rFonts w:hint="eastAsia"/>
          <w:lang w:val="en-US" w:eastAsia="zh-CN"/>
        </w:rPr>
        <w:t>用户</w:t>
      </w:r>
      <w:r>
        <w:rPr>
          <w:rFonts w:hint="eastAsia"/>
        </w:rPr>
        <w:t>选择的关联表单、数据直接进行相关联数据的自动填入。</w:t>
      </w:r>
    </w:p>
    <w:p>
      <w:pPr>
        <w:pStyle w:val="33"/>
      </w:pPr>
      <w:r>
        <w:rPr>
          <w:rFonts w:hint="eastAsia"/>
        </w:rPr>
        <w:t>系统提供数据及日期的计算功能，能够智能进行数据类型的转换。并支持对明细表的数据列进行统计。</w:t>
      </w:r>
    </w:p>
    <w:p>
      <w:pPr>
        <w:pStyle w:val="33"/>
      </w:pPr>
      <w:r>
        <w:rPr>
          <w:rFonts w:hint="eastAsia"/>
        </w:rPr>
        <w:t>系统提供了自动流水号、选择人员、选择岗位、选择部门、指定日期、指定时间、条形码、在线编辑器、类别选择等几十种宏控件，这些宏控件都具有一定的功能，让表单更加智能化、专业化。</w:t>
      </w:r>
    </w:p>
    <w:p>
      <w:pPr>
        <w:pStyle w:val="33"/>
      </w:pPr>
      <w:r>
        <w:rPr>
          <w:rFonts w:hint="eastAsia"/>
        </w:rPr>
        <w:t>对表单上的数据，能够针对流程中每个审批步骤设置是否可查看、是否可修改的权限，使表单的数据更安全。</w:t>
      </w:r>
    </w:p>
    <w:p>
      <w:pPr>
        <w:pStyle w:val="33"/>
      </w:pPr>
      <w:r>
        <w:rPr>
          <w:rFonts w:hint="eastAsia"/>
        </w:rPr>
        <w:t>对于审批的数据，用户也可以在审批的过程中，根据实际业务需求在审批通过某个步骤后将数据写入到第三方系统，或调用OA系统的内部接口写入到相关模块进行数据处理。</w:t>
      </w:r>
    </w:p>
    <w:p>
      <w:pPr>
        <w:pStyle w:val="33"/>
      </w:pPr>
      <w:r>
        <w:rPr>
          <w:rFonts w:hint="eastAsia"/>
        </w:rPr>
        <w:t>对于审批的数据，系统能够自动采集数据到实体数据表中，可以直接在系统中通过视图进行数据的汇总查看，也可以通过报表中心输出各种报表、图表。</w:t>
      </w:r>
    </w:p>
    <w:p>
      <w:pPr>
        <w:pStyle w:val="33"/>
        <w:numPr>
          <w:ilvl w:val="0"/>
          <w:numId w:val="0"/>
        </w:numPr>
        <w:ind w:left="420"/>
      </w:pPr>
    </w:p>
    <w:p>
      <w:pPr>
        <w:spacing w:before="93" w:after="93"/>
        <w:ind w:firstLine="420"/>
        <w:rPr>
          <w:b/>
        </w:rPr>
      </w:pPr>
      <w:r>
        <w:rPr>
          <w:rFonts w:hint="eastAsia"/>
          <w:b/>
        </w:rPr>
        <w:t>对审批中的文件，能够做到：</w:t>
      </w:r>
    </w:p>
    <w:p>
      <w:pPr>
        <w:pStyle w:val="33"/>
      </w:pPr>
      <w:r>
        <w:rPr>
          <w:rFonts w:hint="eastAsia"/>
        </w:rPr>
        <w:t>能够在线修改文件内容，实现留痕、全文批注、套红等动作；</w:t>
      </w:r>
    </w:p>
    <w:p>
      <w:pPr>
        <w:pStyle w:val="33"/>
      </w:pPr>
      <w:r>
        <w:rPr>
          <w:rFonts w:hint="eastAsia"/>
        </w:rPr>
        <w:t>支持多附件文件上传，附件文件能够在线编辑；</w:t>
      </w:r>
    </w:p>
    <w:p>
      <w:pPr>
        <w:pStyle w:val="33"/>
      </w:pPr>
      <w:r>
        <w:rPr>
          <w:rFonts w:hint="eastAsia"/>
        </w:rPr>
        <w:t>支持将审批表单上的数据自动写入到文档中；</w:t>
      </w:r>
    </w:p>
    <w:p>
      <w:pPr>
        <w:pStyle w:val="33"/>
      </w:pPr>
      <w:r>
        <w:rPr>
          <w:rFonts w:hint="eastAsia"/>
        </w:rPr>
        <w:t>支持文档的自动转换，能够将正文转成HTML、PDF，实现在任何设备上都能够查看自如。</w:t>
      </w:r>
    </w:p>
    <w:p>
      <w:pPr>
        <w:pStyle w:val="33"/>
        <w:numPr>
          <w:ilvl w:val="0"/>
          <w:numId w:val="0"/>
        </w:numPr>
        <w:ind w:left="420"/>
      </w:pPr>
    </w:p>
    <w:p>
      <w:pPr>
        <w:spacing w:before="93" w:after="93"/>
        <w:ind w:firstLine="420"/>
        <w:rPr>
          <w:b/>
        </w:rPr>
      </w:pPr>
      <w:r>
        <w:rPr>
          <w:rFonts w:hint="eastAsia"/>
          <w:b/>
        </w:rPr>
        <w:t>在多年对审批模块的持续性改进过程中，还有很多方便操作的地方：</w:t>
      </w:r>
    </w:p>
    <w:p>
      <w:pPr>
        <w:pStyle w:val="33"/>
      </w:pPr>
      <w:r>
        <w:rPr>
          <w:rFonts w:hint="eastAsia"/>
        </w:rPr>
        <w:t>代理人机制的设置。可以按表单设置，不同的表单设置不同的代理人。代理的时间可以自行设置，既支持长期代理也支持短期代理。设置了代理后，自己也能够看到全部的审批单据，防止工作出错。</w:t>
      </w:r>
    </w:p>
    <w:p>
      <w:pPr>
        <w:pStyle w:val="33"/>
      </w:pPr>
      <w:r>
        <w:rPr>
          <w:rFonts w:hint="eastAsia"/>
        </w:rPr>
        <w:t>为了不遗漏审批，系统可以通过发送系统消息；推送审批信息到手机APP、微信、钉钉；发送电子邮件、手机短信等多种方式告知用户有需要处理的审批信息。</w:t>
      </w:r>
    </w:p>
    <w:p>
      <w:pPr>
        <w:pStyle w:val="33"/>
      </w:pPr>
      <w:r>
        <w:rPr>
          <w:rFonts w:hint="eastAsia"/>
        </w:rPr>
        <w:t>为了最大程度的方便用户的操作，用户可以选择通过浏览器、手机APP、微信、钉钉、电子邮件等多种方式进行审批。</w:t>
      </w:r>
    </w:p>
    <w:p>
      <w:pPr>
        <w:pStyle w:val="33"/>
      </w:pPr>
      <w:r>
        <w:rPr>
          <w:rFonts w:hint="eastAsia"/>
        </w:rPr>
        <w:t>审批结束后，审批信息可以自动存入文档中心指定位置，也可以人工归入档案中心，形成档案存放。</w:t>
      </w:r>
    </w:p>
    <w:p>
      <w:pPr>
        <w:pStyle w:val="33"/>
      </w:pPr>
      <w:r>
        <w:rPr>
          <w:rFonts w:hint="eastAsia"/>
        </w:rPr>
        <w:t>审批中的每个步骤都能够设置审批时限，系统能够自动生成超时统计报表。</w:t>
      </w:r>
    </w:p>
    <w:p>
      <w:pPr>
        <w:pStyle w:val="33"/>
        <w:rPr>
          <w:rFonts w:hint="eastAsia"/>
        </w:rPr>
      </w:pPr>
      <w:r>
        <w:rPr>
          <w:rFonts w:hint="eastAsia"/>
        </w:rPr>
        <w:t>首创模板流程版本化管理，流程修改时自动生成实例版本，完整记录变更细节与时间点。这一功能确保流程变更可追溯，简化流程管理复杂度，保障业务连续性和稳定性，为企业管理提供有力支持。</w:t>
      </w:r>
    </w:p>
    <w:p>
      <w:pPr>
        <w:pStyle w:val="33"/>
        <w:rPr>
          <w:rFonts w:hint="eastAsia"/>
        </w:rPr>
      </w:pPr>
      <w:r>
        <w:rPr>
          <w:rFonts w:hint="eastAsia"/>
        </w:rPr>
        <w:t>批量导出审批单功能，支持一次性导出多个审批单，适用于日常业务处理、财务审计、项目结算等场景。此功能节省时间和人力成本，确保数据完整性和准确性，显著提高数据归档效率。</w:t>
      </w:r>
    </w:p>
    <w:p>
      <w:pPr>
        <w:pStyle w:val="33"/>
      </w:pPr>
      <w:r>
        <w:rPr>
          <w:rFonts w:hint="eastAsia"/>
        </w:rPr>
        <w:t>一键检索离职人员权限并自动关闭功能</w:t>
      </w:r>
      <w:r>
        <w:rPr>
          <w:rFonts w:hint="eastAsia"/>
          <w:lang w:eastAsia="zh-CN"/>
        </w:rPr>
        <w:t>，</w:t>
      </w:r>
      <w:r>
        <w:rPr>
          <w:rFonts w:hint="eastAsia"/>
        </w:rPr>
        <w:t>强化权限控制。系统能快速检索并关闭离职人员权限，防止权限滥用风险，保障企业数据安全和业务正常运行。</w:t>
      </w:r>
    </w:p>
    <w:p>
      <w:pPr>
        <w:widowControl/>
        <w:adjustRightInd/>
        <w:snapToGrid/>
        <w:spacing w:beforeLines="0" w:afterLines="0" w:line="240" w:lineRule="auto"/>
        <w:ind w:firstLine="0" w:firstLineChars="0"/>
        <w:jc w:val="left"/>
      </w:pPr>
      <w:r>
        <w:br w:type="page"/>
      </w:r>
    </w:p>
    <w:p>
      <w:pPr>
        <w:pStyle w:val="2"/>
        <w:widowControl/>
        <w:spacing w:after="249"/>
        <w:ind w:left="425" w:leftChars="0" w:firstLineChars="0"/>
        <w:jc w:val="left"/>
      </w:pPr>
      <w:bookmarkStart w:id="8" w:name="_Toc22158"/>
      <w:r>
        <w:rPr>
          <w:rFonts w:hint="eastAsia"/>
        </w:rPr>
        <w:t>与众不同</w:t>
      </w:r>
      <w:bookmarkEnd w:id="8"/>
    </w:p>
    <w:p>
      <w:pPr>
        <w:pStyle w:val="4"/>
        <w:spacing w:before="93" w:after="93"/>
        <w:ind w:left="425" w:leftChars="0" w:firstLineChars="0"/>
      </w:pPr>
      <w:bookmarkStart w:id="9" w:name="_Toc25260"/>
      <w:r>
        <w:rPr>
          <w:rFonts w:hint="eastAsia"/>
        </w:rPr>
        <w:t>特点与优势</w:t>
      </w:r>
      <w:bookmarkEnd w:id="9"/>
    </w:p>
    <w:p>
      <w:pPr>
        <w:bidi w:val="0"/>
        <w:rPr>
          <w:rFonts w:hint="eastAsia"/>
        </w:rPr>
      </w:pPr>
      <w:r>
        <w:t>华天自主研发工作流引擎，通过可视化流程设计、电子表单、条件跳转以及交叉统计等技术，实现企业业务流程管理的自动化、智慧化和整合化。</w:t>
      </w:r>
      <w:r>
        <w:rPr>
          <w:rFonts w:hint="eastAsia"/>
        </w:rPr>
        <w:t>其工作流通过电子表单、图形化流程设计器、条件跳转以及交叉统计等技术，能够满足任意复杂的工作流管理需要。</w:t>
      </w:r>
    </w:p>
    <w:p>
      <w:pPr>
        <w:pStyle w:val="33"/>
      </w:pPr>
      <w:r>
        <w:rPr>
          <w:rFonts w:hint="eastAsia"/>
        </w:rPr>
        <w:t>百变流程，流程可以自由组合。</w:t>
      </w:r>
    </w:p>
    <w:p>
      <w:pPr>
        <w:spacing w:before="93" w:after="93"/>
        <w:ind w:firstLine="420"/>
      </w:pPr>
      <w:r>
        <w:rPr>
          <w:rFonts w:hint="eastAsia"/>
        </w:rPr>
        <w:t>能够完全实现固定流程、自由流程节点、直到流程节点、自由顺序节点之间的自由组合，另外，也可以交叉使用几种不同的流程，这种灵活的配置能够满足任何流程的要求。无论条件多么复杂，都可以轻松实现。</w:t>
      </w:r>
    </w:p>
    <w:p>
      <w:pPr>
        <w:pStyle w:val="33"/>
      </w:pPr>
      <w:r>
        <w:rPr>
          <w:rFonts w:hint="eastAsia"/>
        </w:rPr>
        <w:t>秘书节点实现单据的震荡流转</w:t>
      </w:r>
    </w:p>
    <w:p>
      <w:pPr>
        <w:spacing w:before="93" w:after="93"/>
        <w:ind w:firstLine="420"/>
      </w:pPr>
      <w:r>
        <w:rPr>
          <w:rFonts w:hint="eastAsia"/>
        </w:rPr>
        <w:t>企事业单位经常会收到上级单位的相关来文，由文员登记来文，然后交给办公室主任拟办，这时可能需要根据具体的拟办意见来选择相关领导批示，再根据该领导的批示内容选择其他领导批示，直到该来文提交到下一步做任务分解或备档等工作，流程才能结束。对于这种操作，大多数厂商无法设置出一个相对固定的流程，而在华天工作流中，只需要一个节点，就能完美解决这一问题。解决方法为：设置审批人为秘书节点，该审批人能够根据实际需要去选择不同的人员进行审批，每步审批完成后，审批单都会返回到该审批人处，直到该审批人认为可以提交至下一步审批为止。这种操作华天称之为震荡流程。由此可以看出，华天工作流能够简化实现复杂流程。</w:t>
      </w:r>
    </w:p>
    <w:p>
      <w:pPr>
        <w:spacing w:before="93" w:after="93"/>
        <w:ind w:firstLine="420"/>
      </w:pPr>
      <w:r>
        <w:rPr>
          <w:rFonts w:hint="eastAsia"/>
        </w:rPr>
        <w:t>不止如此，华天基于用户的使用又进一步完善了此功能，可以让被送办的领导继续选择派发的人员进行处理；同时，秘书节点的审批人也可以将</w:t>
      </w:r>
      <w:r>
        <w:rPr>
          <w:rFonts w:hint="eastAsia"/>
          <w:lang w:val="en-US" w:eastAsia="zh-CN"/>
        </w:rPr>
        <w:t>已</w:t>
      </w:r>
      <w:r>
        <w:rPr>
          <w:rFonts w:hint="eastAsia"/>
        </w:rPr>
        <w:t>送办</w:t>
      </w:r>
      <w:r>
        <w:rPr>
          <w:rFonts w:hint="eastAsia"/>
          <w:lang w:val="en-US" w:eastAsia="zh-CN"/>
        </w:rPr>
        <w:t>到</w:t>
      </w:r>
      <w:r>
        <w:rPr>
          <w:rFonts w:hint="eastAsia"/>
        </w:rPr>
        <w:t>审批人</w:t>
      </w:r>
      <w:r>
        <w:rPr>
          <w:rFonts w:hint="eastAsia"/>
          <w:lang w:eastAsia="zh-CN"/>
        </w:rPr>
        <w:t>的</w:t>
      </w:r>
      <w:r>
        <w:rPr>
          <w:rFonts w:hint="eastAsia"/>
          <w:lang w:val="en-US" w:eastAsia="zh-CN"/>
        </w:rPr>
        <w:t>单据进行</w:t>
      </w:r>
      <w:r>
        <w:rPr>
          <w:rFonts w:hint="eastAsia"/>
        </w:rPr>
        <w:t>撤回，给误送的情况提供解决办法。</w:t>
      </w:r>
    </w:p>
    <w:p>
      <w:pPr>
        <w:pStyle w:val="33"/>
      </w:pPr>
      <w:r>
        <w:rPr>
          <w:rFonts w:hint="eastAsia"/>
        </w:rPr>
        <w:t>直到流程实现自动流转</w:t>
      </w:r>
    </w:p>
    <w:p>
      <w:pPr>
        <w:spacing w:before="93" w:after="93"/>
        <w:ind w:firstLine="420"/>
      </w:pPr>
      <w:r>
        <w:rPr>
          <w:rFonts w:hint="eastAsia"/>
        </w:rPr>
        <w:t>有这样一个场景，申请人提交一个申请后，该申请需要根据当前人的级别流转到其上级领导处进行审批，直到总经理为止。要实现这一流程，需要根据申请人的岗位去设置多个不同的流程，实现过程复杂繁琐。而在华天工作流中，只需预先设置好员工的岗位级别，用一个直到流程，使审批按照岗位级别自动流转到下一步审批人处，即可完成审批。华天工作流在各个方面都注重使用的简便性和快捷性，大大提高了工作效率。</w:t>
      </w:r>
    </w:p>
    <w:p>
      <w:pPr>
        <w:pStyle w:val="33"/>
      </w:pPr>
      <w:r>
        <w:rPr>
          <w:rFonts w:hint="eastAsia"/>
        </w:rPr>
        <w:t>承办流程</w:t>
      </w:r>
    </w:p>
    <w:p>
      <w:pPr>
        <w:pStyle w:val="33"/>
        <w:numPr>
          <w:ilvl w:val="0"/>
          <w:numId w:val="0"/>
        </w:numPr>
        <w:ind w:firstLine="420" w:firstLineChars="200"/>
      </w:pPr>
      <w:r>
        <w:rPr>
          <w:rFonts w:hint="eastAsia"/>
        </w:rPr>
        <w:t>有这样一种特殊情况，某区教委接到市教委的来文，要求增强课堂的上课质量。区教委经内部审阅后直接交给质量办承办，同时交给辖区学校阅办。对于区教委来讲，这个流程可以结束并归档。而学校在收到阅办信息后，既能够交给教导处做阅办，又可以直接交给任课老师做承办。对于这种阅办和承办可以始终向下延续，直到阅办人或承办人认为不需要向下延续为止。继而，质量办在收到承办任务后会开始到各学校检查听课，并在一段时间后提交承办结果，而这一操作与原流程没有实际的关联。对于这种情况，普通流程根本无法实现，而华天专门设计了承办流程，使得审批可以顺利流转，不影响其他流程。华天工作流针对不同情况巧妙地设计了不同的流程，其周全的考虑，智慧的设计使得所有工作都能简单顺利完成。</w:t>
      </w:r>
    </w:p>
    <w:p>
      <w:pPr>
        <w:pStyle w:val="33"/>
      </w:pPr>
      <w:r>
        <w:rPr>
          <w:rFonts w:hint="eastAsia"/>
        </w:rPr>
        <w:t>灵活的退文方式</w:t>
      </w:r>
    </w:p>
    <w:p>
      <w:pPr>
        <w:pStyle w:val="33"/>
        <w:numPr>
          <w:ilvl w:val="0"/>
          <w:numId w:val="0"/>
        </w:numPr>
        <w:ind w:firstLine="420" w:firstLineChars="200"/>
      </w:pPr>
      <w:r>
        <w:rPr>
          <w:rFonts w:hint="eastAsia"/>
        </w:rPr>
        <w:t>有这样一种情况，公司某位员工出差，需要填写出差申请单，该表单需要经过组长、部门经理等相关人员审批，最后到人事部门进行相关处理。在人事部门处理的过程中发现申请人员填写的内容不够规范或者相关内容不合要求。这时，人事可以通过退文将审批单退回至申请者，由申请者重新提交该申请单。由于该表单内容只是修改了相关规范，如果还需要重新通过组长、部门经理审批，会浪费大量的人力资源。因此，可以通过模板中设置的“启用直接返回给退文人退文方式”，这时该表单重新被发送后，会直接交由HR进行相关审批。而当涉及到重要内容修改时，如请款申请单，可以关闭“直接返回给退文人退文方式”，当退文后的审批单重新发起后，会重新需要相关人员进行审批。这样，不仅保证了安全，而且提升了公司内部流转效率。</w:t>
      </w:r>
    </w:p>
    <w:p>
      <w:pPr>
        <w:pStyle w:val="33"/>
      </w:pPr>
      <w:r>
        <w:rPr>
          <w:rFonts w:hint="eastAsia"/>
        </w:rPr>
        <w:t>数据安全性高</w:t>
      </w:r>
    </w:p>
    <w:p>
      <w:pPr>
        <w:pStyle w:val="33"/>
        <w:numPr>
          <w:ilvl w:val="0"/>
          <w:numId w:val="0"/>
        </w:numPr>
        <w:ind w:firstLine="420" w:firstLineChars="200"/>
      </w:pPr>
      <w:r>
        <w:rPr>
          <w:rFonts w:hint="eastAsia"/>
        </w:rPr>
        <w:t>每个企业的销售人员与客户达成销售意向后，需要先发起销售单，该销售单在内部进行审批，只有当审批通过后才能够签合同。但是，每个销售人员都不愿意泄露当前客户的信息，否则会有“抢单”的危险。针对这一情况，在设置流程时，针对每步审批人，专门为表单上的每个字段设置读写权限。这样，当销售人员填写销售单，发出申请到销售经理处审批时，销售经理便不能看到客户的联系信息。只有当审批走到总经理处，总经理才能够看到全部的信息。可见，华天工作流非常注重保护用户的信息不被泄露，保障信息安全。</w:t>
      </w:r>
    </w:p>
    <w:p>
      <w:pPr>
        <w:pStyle w:val="33"/>
        <w:numPr>
          <w:ilvl w:val="0"/>
          <w:numId w:val="0"/>
        </w:numPr>
        <w:ind w:firstLine="420" w:firstLineChars="200"/>
      </w:pPr>
      <w:r>
        <w:rPr>
          <w:rFonts w:hint="eastAsia"/>
        </w:rPr>
        <w:t>另外，由于时间的积累，系统会存储大量数据，因而需要手动删除一些审批过程中的垃圾数据，这很有可能会出现不小心误删数据的情况，造成数据崩溃。在华天工作流中，删除审批单的操作具备回收站功能，删除的审批单能够保存在回收站中，需要经过二次确认才能删除垃圾数据或者恢复数据，这一操作进一步保护了数据，提高了数据的安全性，选择华天，就是选择安全，选择放心。</w:t>
      </w:r>
    </w:p>
    <w:p>
      <w:pPr>
        <w:pStyle w:val="33"/>
      </w:pPr>
      <w:r>
        <w:rPr>
          <w:rFonts w:hint="eastAsia"/>
        </w:rPr>
        <w:t>表单使用灵活，操作简便</w:t>
      </w:r>
    </w:p>
    <w:p>
      <w:pPr>
        <w:pStyle w:val="33"/>
        <w:numPr>
          <w:ilvl w:val="0"/>
          <w:numId w:val="0"/>
        </w:numPr>
        <w:ind w:firstLine="420" w:firstLineChars="200"/>
      </w:pPr>
      <w:r>
        <w:rPr>
          <w:rFonts w:hint="eastAsia"/>
        </w:rPr>
        <w:t>华天工作流的表单不仅在样式上非常专业、美观，而且能够制作出满足各种情况的表单。 比如用户不仅可以直接输入内容，而且能够自动关联出当前申请人的信息，自动生成单据流水号等。也可以在表单中直接关联其他相关表单，还可以在已有表格中根据需要插入不同行数的表格，</w:t>
      </w:r>
      <w:r>
        <w:rPr>
          <w:rFonts w:hint="eastAsia"/>
          <w:lang w:val="en-US" w:eastAsia="zh-CN"/>
        </w:rPr>
        <w:t>亦</w:t>
      </w:r>
      <w:r>
        <w:rPr>
          <w:rFonts w:hint="eastAsia"/>
        </w:rPr>
        <w:t xml:space="preserve">可以实现在一张审批单上插入多张明细表。 </w:t>
      </w:r>
    </w:p>
    <w:p>
      <w:pPr>
        <w:pStyle w:val="33"/>
      </w:pPr>
      <w:r>
        <w:rPr>
          <w:rFonts w:hint="eastAsia"/>
        </w:rPr>
        <w:t>一步实现批量数据的审批</w:t>
      </w:r>
    </w:p>
    <w:p>
      <w:pPr>
        <w:pStyle w:val="33"/>
        <w:numPr>
          <w:ilvl w:val="0"/>
          <w:numId w:val="0"/>
        </w:numPr>
        <w:ind w:firstLine="420" w:firstLineChars="200"/>
      </w:pPr>
      <w:r>
        <w:rPr>
          <w:rFonts w:hint="eastAsia"/>
        </w:rPr>
        <w:t>每个企事业单位都会存在某个部门申请集体加班，或者企业发放物品，需要全体人员填写申请单的情况，这时审批人就会审批大量内容相似的审批单，做大量重复操作。系统专门设置批量审批功能，使得审批者可以一步完成所有数据的审批，解决了依次点开每张审批单进行操作的重复性审批问题，使得审批操作更加方便快捷，提高了工作效率。</w:t>
      </w:r>
    </w:p>
    <w:p>
      <w:pPr>
        <w:pStyle w:val="33"/>
      </w:pPr>
      <w:r>
        <w:rPr>
          <w:rFonts w:hint="eastAsia"/>
        </w:rPr>
        <w:t>轻松实现流程内外数据的整合</w:t>
      </w:r>
    </w:p>
    <w:p>
      <w:pPr>
        <w:pStyle w:val="33"/>
        <w:numPr>
          <w:ilvl w:val="0"/>
          <w:numId w:val="0"/>
        </w:numPr>
        <w:ind w:firstLine="420" w:firstLineChars="200"/>
        <w:rPr>
          <w:rFonts w:hint="eastAsia"/>
        </w:rPr>
      </w:pPr>
      <w:r>
        <w:rPr>
          <w:rFonts w:hint="eastAsia"/>
        </w:rPr>
        <w:t>华天工作流既可以实现OA系统内部各表单的数据整合，如报销单和借支单、请假单和年假单、费用单和预算单等，又可以实现OA系统和第三方业务系统的数据整合，如OA系统和ERP、CRM、HR、财务等系统。从而实现数据共享，消除信息孤岛，减少重复工作，并大大降低手工操作的差错率。</w:t>
      </w:r>
    </w:p>
    <w:p>
      <w:pPr>
        <w:pStyle w:val="33"/>
        <w:numPr>
          <w:ilvl w:val="0"/>
          <w:numId w:val="0"/>
        </w:numPr>
        <w:rPr>
          <w:rFonts w:hint="eastAsia"/>
        </w:rPr>
      </w:pPr>
    </w:p>
    <w:p>
      <w:pPr>
        <w:pStyle w:val="4"/>
        <w:spacing w:before="93" w:after="93"/>
        <w:ind w:left="425" w:leftChars="0" w:firstLineChars="0"/>
      </w:pPr>
      <w:bookmarkStart w:id="10" w:name="_Toc30508"/>
      <w:r>
        <w:rPr>
          <w:rFonts w:hint="eastAsia"/>
        </w:rPr>
        <w:t>与其他模块的联系</w:t>
      </w:r>
      <w:bookmarkEnd w:id="10"/>
    </w:p>
    <w:p>
      <w:pPr>
        <w:bidi w:val="0"/>
        <w:rPr>
          <w:rFonts w:hint="eastAsia"/>
        </w:rPr>
      </w:pPr>
      <w:r>
        <w:t>工作流引擎作为系统核心流程能力，与各功能模块紧密联动。各模块业务流程均依托工作流引擎，实现流程标准化、自动化管理。</w:t>
      </w:r>
      <w:r>
        <w:rPr>
          <w:rFonts w:hint="eastAsia"/>
        </w:rPr>
        <w:t>它贯穿业务始终，从项目立项到执行，从财务报销到人事审批，确保信息实时共享、流转顺畅，提升效率，降低风险，为管理决策提供有力支持，是系统高效运行的关键保障。</w:t>
      </w:r>
    </w:p>
    <w:p>
      <w:pPr>
        <w:pStyle w:val="32"/>
        <w:numPr>
          <w:ilvl w:val="0"/>
          <w:numId w:val="0"/>
        </w:numPr>
        <w:spacing w:before="93" w:after="93"/>
        <w:rPr>
          <w:rFonts w:hint="eastAsia"/>
        </w:rPr>
      </w:pPr>
    </w:p>
    <w:p>
      <w:pPr>
        <w:pStyle w:val="4"/>
        <w:spacing w:before="93" w:after="93"/>
        <w:ind w:left="425" w:leftChars="0" w:firstLineChars="0"/>
      </w:pPr>
      <w:bookmarkStart w:id="11" w:name="_Toc27796"/>
      <w:r>
        <w:rPr>
          <w:rFonts w:hint="eastAsia"/>
        </w:rPr>
        <w:t>对客户的好处</w:t>
      </w:r>
      <w:bookmarkEnd w:id="11"/>
    </w:p>
    <w:p>
      <w:pPr>
        <w:pStyle w:val="33"/>
        <w:numPr>
          <w:ilvl w:val="0"/>
          <w:numId w:val="0"/>
        </w:numPr>
        <w:ind w:firstLine="420" w:firstLineChars="200"/>
      </w:pPr>
      <w:r>
        <w:rPr>
          <w:rFonts w:hint="eastAsia"/>
        </w:rPr>
        <w:t>由于信息技术的发展和日趋激烈的商业竞争，企事业单位不再满足于独立、零散的自动化办公和计算机应用，而是更迫切地需要综合的、集成化的解决方案。作为一种对常规性事务进行管理、集成的技术，华天审批工作流可以为客户带来以下收益：</w:t>
      </w:r>
    </w:p>
    <w:p>
      <w:pPr>
        <w:pStyle w:val="33"/>
      </w:pPr>
      <w:r>
        <w:rPr>
          <w:rFonts w:hint="eastAsia"/>
        </w:rPr>
        <w:t>改进和优化业务流程、提高业务工作效率。</w:t>
      </w:r>
    </w:p>
    <w:p>
      <w:pPr>
        <w:pStyle w:val="33"/>
      </w:pPr>
      <w:r>
        <w:rPr>
          <w:rFonts w:hint="eastAsia"/>
        </w:rPr>
        <w:t>轻松实现流程内外数据的整合，消除信息孤岛，能够实现数据同步交换和共享。</w:t>
      </w:r>
    </w:p>
    <w:p>
      <w:pPr>
        <w:pStyle w:val="33"/>
      </w:pPr>
      <w:r>
        <w:rPr>
          <w:rFonts w:hint="eastAsia"/>
        </w:rPr>
        <w:t>化繁为简，提升流转效率，是未来工作流技术发展的方向。</w:t>
      </w:r>
    </w:p>
    <w:p>
      <w:pPr>
        <w:widowControl/>
        <w:adjustRightInd/>
        <w:snapToGrid/>
        <w:spacing w:beforeLines="0" w:afterLines="0" w:line="240" w:lineRule="auto"/>
        <w:ind w:firstLine="0" w:firstLineChars="0"/>
        <w:jc w:val="left"/>
      </w:pPr>
      <w:r>
        <w:br w:type="page"/>
      </w:r>
    </w:p>
    <w:p>
      <w:pPr>
        <w:pStyle w:val="2"/>
        <w:widowControl/>
        <w:spacing w:after="249"/>
        <w:ind w:left="425" w:leftChars="0" w:firstLineChars="0"/>
        <w:jc w:val="left"/>
      </w:pPr>
      <w:bookmarkStart w:id="12" w:name="_Toc7000"/>
      <w:r>
        <w:rPr>
          <w:rFonts w:hint="eastAsia"/>
        </w:rPr>
        <w:t>功能描述</w:t>
      </w:r>
      <w:bookmarkEnd w:id="12"/>
    </w:p>
    <w:p>
      <w:pPr>
        <w:pStyle w:val="4"/>
        <w:spacing w:before="93" w:after="93"/>
        <w:ind w:left="425" w:leftChars="0" w:firstLineChars="0"/>
      </w:pPr>
      <w:bookmarkStart w:id="13" w:name="_Toc11010"/>
      <w:r>
        <w:rPr>
          <w:rFonts w:hint="eastAsia"/>
        </w:rPr>
        <w:t>功能组件概览</w:t>
      </w:r>
      <w:bookmarkEnd w:id="13"/>
    </w:p>
    <w:tbl>
      <w:tblPr>
        <w:tblStyle w:val="18"/>
        <w:tblW w:w="10330" w:type="dxa"/>
        <w:tblInd w:w="103" w:type="dxa"/>
        <w:tblLayout w:type="fixed"/>
        <w:tblCellMar>
          <w:top w:w="0" w:type="dxa"/>
          <w:left w:w="108" w:type="dxa"/>
          <w:bottom w:w="0" w:type="dxa"/>
          <w:right w:w="108" w:type="dxa"/>
        </w:tblCellMar>
      </w:tblPr>
      <w:tblGrid>
        <w:gridCol w:w="1990"/>
        <w:gridCol w:w="8340"/>
      </w:tblGrid>
      <w:tr>
        <w:tblPrEx>
          <w:tblCellMar>
            <w:top w:w="0" w:type="dxa"/>
            <w:left w:w="108" w:type="dxa"/>
            <w:bottom w:w="0" w:type="dxa"/>
            <w:right w:w="108" w:type="dxa"/>
          </w:tblCellMar>
        </w:tblPrEx>
        <w:tc>
          <w:tcPr>
            <w:tcW w:w="1990" w:type="dxa"/>
            <w:tcBorders>
              <w:top w:val="single" w:color="auto" w:sz="4" w:space="0"/>
              <w:left w:val="single" w:color="auto" w:sz="4" w:space="0"/>
              <w:bottom w:val="single" w:color="auto" w:sz="4" w:space="0"/>
              <w:right w:val="single" w:color="auto" w:sz="4" w:space="0"/>
            </w:tcBorders>
            <w:shd w:val="clear" w:color="auto" w:fill="808080"/>
            <w:vAlign w:val="center"/>
          </w:tcPr>
          <w:p>
            <w:pPr>
              <w:keepNext w:val="0"/>
              <w:keepLines w:val="0"/>
              <w:widowControl/>
              <w:suppressLineNumbers w:val="0"/>
              <w:spacing w:before="93" w:beforeAutospacing="0" w:after="93" w:afterAutospacing="0"/>
              <w:ind w:left="0" w:right="0" w:firstLine="0" w:firstLineChars="0"/>
              <w:jc w:val="center"/>
              <w:rPr>
                <w:rFonts w:hint="eastAsia" w:asciiTheme="minorEastAsia" w:hAnsiTheme="minorEastAsia" w:eastAsiaTheme="minorEastAsia" w:cstheme="minorEastAsia"/>
                <w:color w:val="FFFFFF"/>
                <w:kern w:val="0"/>
                <w:sz w:val="24"/>
                <w:szCs w:val="24"/>
                <w:lang w:eastAsia="zh-CN"/>
              </w:rPr>
            </w:pPr>
            <w:r>
              <w:rPr>
                <w:rFonts w:hint="eastAsia" w:asciiTheme="minorEastAsia" w:hAnsiTheme="minorEastAsia" w:eastAsiaTheme="minorEastAsia" w:cstheme="minorEastAsia"/>
                <w:color w:val="FFFFFF"/>
                <w:kern w:val="0"/>
                <w:sz w:val="24"/>
                <w:szCs w:val="24"/>
                <w:lang w:eastAsia="zh-CN"/>
              </w:rPr>
              <w:t>功能名称</w:t>
            </w:r>
          </w:p>
        </w:tc>
        <w:tc>
          <w:tcPr>
            <w:tcW w:w="8340" w:type="dxa"/>
            <w:tcBorders>
              <w:top w:val="single" w:color="auto" w:sz="4" w:space="0"/>
              <w:left w:val="single" w:color="auto" w:sz="4" w:space="0"/>
              <w:bottom w:val="single" w:color="auto" w:sz="4" w:space="0"/>
              <w:right w:val="single" w:color="auto" w:sz="4" w:space="0"/>
            </w:tcBorders>
            <w:shd w:val="clear" w:color="auto" w:fill="808080"/>
            <w:vAlign w:val="center"/>
          </w:tcPr>
          <w:p>
            <w:pPr>
              <w:keepNext w:val="0"/>
              <w:keepLines w:val="0"/>
              <w:widowControl/>
              <w:suppressLineNumbers w:val="0"/>
              <w:spacing w:before="93" w:beforeAutospacing="0" w:after="93" w:afterAutospacing="0"/>
              <w:ind w:left="0" w:right="0" w:firstLine="0" w:firstLineChars="0"/>
              <w:jc w:val="center"/>
              <w:rPr>
                <w:rFonts w:hint="eastAsia" w:asciiTheme="minorEastAsia" w:hAnsiTheme="minorEastAsia" w:eastAsiaTheme="minorEastAsia" w:cstheme="minorEastAsia"/>
                <w:color w:val="FFFFFF"/>
                <w:kern w:val="0"/>
                <w:sz w:val="24"/>
                <w:szCs w:val="24"/>
                <w:lang w:eastAsia="zh-CN"/>
              </w:rPr>
            </w:pPr>
            <w:r>
              <w:rPr>
                <w:rFonts w:hint="eastAsia" w:asciiTheme="minorEastAsia" w:hAnsiTheme="minorEastAsia" w:eastAsiaTheme="minorEastAsia" w:cstheme="minorEastAsia"/>
                <w:color w:val="FFFFFF"/>
                <w:kern w:val="0"/>
                <w:sz w:val="24"/>
                <w:szCs w:val="24"/>
                <w:lang w:eastAsia="zh-CN"/>
              </w:rPr>
              <w:t>功能说明</w:t>
            </w:r>
          </w:p>
        </w:tc>
      </w:tr>
      <w:tr>
        <w:tblPrEx>
          <w:tblCellMar>
            <w:top w:w="0" w:type="dxa"/>
            <w:left w:w="108" w:type="dxa"/>
            <w:bottom w:w="0" w:type="dxa"/>
            <w:right w:w="108" w:type="dxa"/>
          </w:tblCellMar>
        </w:tblPrEx>
        <w:tc>
          <w:tcPr>
            <w:tcW w:w="10330" w:type="dxa"/>
            <w:gridSpan w:val="2"/>
            <w:tcBorders>
              <w:top w:val="nil"/>
              <w:left w:val="single" w:color="auto" w:sz="4" w:space="0"/>
              <w:bottom w:val="single" w:color="auto" w:sz="4" w:space="0"/>
              <w:right w:val="single" w:color="auto" w:sz="4" w:space="0"/>
            </w:tcBorders>
            <w:shd w:val="clear" w:color="auto" w:fill="37CFBC"/>
            <w:noWrap/>
            <w:vAlign w:val="bottom"/>
          </w:tcPr>
          <w:p>
            <w:pPr>
              <w:widowControl/>
              <w:spacing w:before="93" w:after="93"/>
              <w:ind w:right="120" w:firstLine="0" w:firstLineChars="0"/>
              <w:jc w:val="left"/>
              <w:rPr>
                <w:rFonts w:hint="default" w:asciiTheme="minorEastAsia" w:hAnsiTheme="minorEastAsia" w:eastAsiaTheme="minorEastAsia" w:cstheme="minorEastAsia"/>
                <w:b/>
                <w:color w:val="FFFFFF"/>
                <w:kern w:val="0"/>
                <w:sz w:val="24"/>
                <w:szCs w:val="24"/>
                <w:lang w:val="en-US" w:eastAsia="zh-CN"/>
              </w:rPr>
            </w:pPr>
            <w:r>
              <w:rPr>
                <w:rFonts w:hint="eastAsia" w:asciiTheme="minorEastAsia" w:hAnsiTheme="minorEastAsia" w:eastAsiaTheme="minorEastAsia" w:cstheme="minorEastAsia"/>
                <w:b/>
                <w:color w:val="FFFFFF"/>
                <w:kern w:val="0"/>
                <w:sz w:val="24"/>
                <w:szCs w:val="24"/>
                <w:lang w:val="en-US" w:eastAsia="zh-CN"/>
              </w:rPr>
              <w:t>审批流转</w:t>
            </w:r>
          </w:p>
        </w:tc>
      </w:tr>
      <w:tr>
        <w:tblPrEx>
          <w:tblCellMar>
            <w:top w:w="0" w:type="dxa"/>
            <w:left w:w="108" w:type="dxa"/>
            <w:bottom w:w="0" w:type="dxa"/>
            <w:right w:w="108" w:type="dxa"/>
          </w:tblCellMar>
        </w:tblPrEx>
        <w:trPr>
          <w:trHeight w:val="503" w:hRule="atLeast"/>
        </w:trPr>
        <w:tc>
          <w:tcPr>
            <w:tcW w:w="19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93" w:beforeAutospacing="0" w:after="93" w:afterAutospacing="0"/>
              <w:ind w:left="0" w:right="0"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起草申请</w:t>
            </w:r>
          </w:p>
        </w:tc>
        <w:tc>
          <w:tcPr>
            <w:tcW w:w="83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93" w:beforeAutospacing="0" w:after="93" w:afterAutospacing="0"/>
              <w:ind w:left="0" w:right="0" w:firstLine="0" w:firstLineChars="0"/>
              <w:rPr>
                <w:rFonts w:hint="eastAsia" w:asciiTheme="minorEastAsia" w:hAnsiTheme="minorEastAsia" w:eastAsiaTheme="minorEastAsia" w:cstheme="minorEastAsia"/>
                <w:kern w:val="0"/>
                <w:sz w:val="20"/>
                <w:lang w:eastAsia="zh-CN"/>
              </w:rPr>
            </w:pPr>
            <w:r>
              <w:rPr>
                <w:rFonts w:hint="eastAsia" w:asciiTheme="minorEastAsia" w:hAnsiTheme="minorEastAsia" w:eastAsiaTheme="minorEastAsia" w:cstheme="minorEastAsia"/>
                <w:kern w:val="0"/>
                <w:sz w:val="20"/>
                <w:lang w:eastAsia="zh-CN"/>
              </w:rPr>
              <w:t>用于起草表单，支持多种形式查看模板，可以通过模板分类和模板标题进行模板查询</w:t>
            </w:r>
          </w:p>
        </w:tc>
      </w:tr>
      <w:tr>
        <w:tblPrEx>
          <w:tblCellMar>
            <w:top w:w="0" w:type="dxa"/>
            <w:left w:w="108" w:type="dxa"/>
            <w:bottom w:w="0" w:type="dxa"/>
            <w:right w:w="108" w:type="dxa"/>
          </w:tblCellMar>
        </w:tblPrEx>
        <w:trPr>
          <w:trHeight w:val="441" w:hRule="atLeast"/>
        </w:trPr>
        <w:tc>
          <w:tcPr>
            <w:tcW w:w="19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93" w:beforeAutospacing="0" w:after="93" w:afterAutospacing="0"/>
              <w:ind w:left="0" w:right="0"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我的申请</w:t>
            </w:r>
          </w:p>
        </w:tc>
        <w:tc>
          <w:tcPr>
            <w:tcW w:w="83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93" w:beforeAutospacing="0" w:after="93" w:afterAutospacing="0"/>
              <w:ind w:left="0" w:right="0" w:firstLine="0" w:firstLineChars="0"/>
              <w:rPr>
                <w:rFonts w:hint="eastAsia" w:asciiTheme="minorEastAsia" w:hAnsiTheme="minorEastAsia" w:eastAsiaTheme="minorEastAsia" w:cstheme="minorEastAsia"/>
                <w:kern w:val="0"/>
                <w:sz w:val="20"/>
                <w:lang w:eastAsia="zh-CN"/>
              </w:rPr>
            </w:pPr>
            <w:r>
              <w:rPr>
                <w:rFonts w:hint="eastAsia" w:asciiTheme="minorEastAsia" w:hAnsiTheme="minorEastAsia" w:eastAsiaTheme="minorEastAsia" w:cstheme="minorEastAsia"/>
                <w:kern w:val="0"/>
                <w:sz w:val="20"/>
                <w:lang w:eastAsia="zh-CN"/>
              </w:rPr>
              <w:t>可以查看用户已发起的单据和具体的审批信息。可以进行单据的转发、催办和转存，支持多种形式的查询方式。可以针对不同模板的单据自定义明细列表展示画面，并对重点单据进行关注。</w:t>
            </w:r>
          </w:p>
        </w:tc>
      </w:tr>
      <w:tr>
        <w:tblPrEx>
          <w:tblCellMar>
            <w:top w:w="0" w:type="dxa"/>
            <w:left w:w="108" w:type="dxa"/>
            <w:bottom w:w="0" w:type="dxa"/>
            <w:right w:w="108" w:type="dxa"/>
          </w:tblCellMar>
        </w:tblPrEx>
        <w:tc>
          <w:tcPr>
            <w:tcW w:w="19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93" w:beforeAutospacing="0" w:after="93" w:afterAutospacing="0"/>
              <w:ind w:left="0" w:right="0"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待我审批</w:t>
            </w:r>
          </w:p>
        </w:tc>
        <w:tc>
          <w:tcPr>
            <w:tcW w:w="83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93" w:beforeAutospacing="0" w:after="93" w:afterAutospacing="0"/>
              <w:ind w:left="0" w:right="0" w:firstLine="0" w:firstLineChars="0"/>
              <w:rPr>
                <w:rFonts w:hint="eastAsia" w:asciiTheme="minorEastAsia" w:hAnsiTheme="minorEastAsia" w:eastAsiaTheme="minorEastAsia" w:cstheme="minorEastAsia"/>
                <w:kern w:val="0"/>
                <w:sz w:val="20"/>
                <w:lang w:eastAsia="zh-CN"/>
              </w:rPr>
            </w:pPr>
            <w:r>
              <w:rPr>
                <w:rFonts w:hint="eastAsia" w:asciiTheme="minorEastAsia" w:hAnsiTheme="minorEastAsia" w:eastAsiaTheme="minorEastAsia" w:cstheme="minorEastAsia"/>
                <w:kern w:val="0"/>
                <w:sz w:val="20"/>
                <w:lang w:eastAsia="zh-CN"/>
              </w:rPr>
              <w:t>可以办理用户待审批的单据，同时支持批量审批。可以进行单据的转发，支持多种形式的查询方式。可以针对不同模板的单据自定义明细列表展示画面，并对重点单据进行关注。</w:t>
            </w:r>
          </w:p>
        </w:tc>
      </w:tr>
      <w:tr>
        <w:tblPrEx>
          <w:tblCellMar>
            <w:top w:w="0" w:type="dxa"/>
            <w:left w:w="108" w:type="dxa"/>
            <w:bottom w:w="0" w:type="dxa"/>
            <w:right w:w="108" w:type="dxa"/>
          </w:tblCellMar>
        </w:tblPrEx>
        <w:tc>
          <w:tcPr>
            <w:tcW w:w="19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93" w:beforeAutospacing="0" w:after="93" w:afterAutospacing="0"/>
              <w:ind w:left="0" w:right="0"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经我审批</w:t>
            </w:r>
          </w:p>
        </w:tc>
        <w:tc>
          <w:tcPr>
            <w:tcW w:w="83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93" w:beforeAutospacing="0" w:after="93" w:afterAutospacing="0"/>
              <w:ind w:left="0" w:right="0" w:firstLine="0" w:firstLineChars="0"/>
              <w:rPr>
                <w:rFonts w:hint="eastAsia" w:asciiTheme="minorEastAsia" w:hAnsiTheme="minorEastAsia" w:eastAsiaTheme="minorEastAsia" w:cstheme="minorEastAsia"/>
                <w:kern w:val="0"/>
                <w:sz w:val="20"/>
              </w:rPr>
            </w:pPr>
            <w:r>
              <w:rPr>
                <w:rFonts w:hint="eastAsia" w:asciiTheme="minorEastAsia" w:hAnsiTheme="minorEastAsia" w:eastAsiaTheme="minorEastAsia" w:cstheme="minorEastAsia"/>
                <w:kern w:val="0"/>
                <w:sz w:val="20"/>
                <w:lang w:eastAsia="zh-CN"/>
              </w:rPr>
              <w:t>可以查看用户已审批的单据和具体的审批信息。可以进行单据的转发和催办，支持多种形式的查询方式。可以针对不同模板的单据自定义明细列表展示画面，并对重点单据进行关注。</w:t>
            </w:r>
          </w:p>
        </w:tc>
      </w:tr>
      <w:tr>
        <w:tblPrEx>
          <w:tblCellMar>
            <w:top w:w="0" w:type="dxa"/>
            <w:left w:w="108" w:type="dxa"/>
            <w:bottom w:w="0" w:type="dxa"/>
            <w:right w:w="108" w:type="dxa"/>
          </w:tblCellMar>
        </w:tblPrEx>
        <w:tc>
          <w:tcPr>
            <w:tcW w:w="19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93" w:beforeAutospacing="0" w:after="93" w:afterAutospacing="0"/>
              <w:ind w:left="0" w:right="0"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待我阅读</w:t>
            </w:r>
          </w:p>
        </w:tc>
        <w:tc>
          <w:tcPr>
            <w:tcW w:w="83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93" w:beforeAutospacing="0" w:after="93" w:afterAutospacing="0"/>
              <w:ind w:left="0" w:right="0" w:firstLine="0" w:firstLineChars="0"/>
              <w:rPr>
                <w:rFonts w:hint="eastAsia" w:asciiTheme="minorEastAsia" w:hAnsiTheme="minorEastAsia" w:eastAsiaTheme="minorEastAsia" w:cstheme="minorEastAsia"/>
                <w:kern w:val="0"/>
                <w:sz w:val="20"/>
                <w:lang w:eastAsia="zh-CN"/>
              </w:rPr>
            </w:pPr>
            <w:r>
              <w:rPr>
                <w:rFonts w:hint="eastAsia" w:asciiTheme="minorEastAsia" w:hAnsiTheme="minorEastAsia" w:eastAsiaTheme="minorEastAsia" w:cstheme="minorEastAsia"/>
                <w:kern w:val="0"/>
                <w:sz w:val="20"/>
                <w:lang w:eastAsia="zh-CN"/>
              </w:rPr>
              <w:t>可以查看需要阅读的单据，可进行批量标记已读。支持多种形式的查询方式，并对重点单据进行关注。</w:t>
            </w:r>
          </w:p>
        </w:tc>
      </w:tr>
      <w:tr>
        <w:tblPrEx>
          <w:tblCellMar>
            <w:top w:w="0" w:type="dxa"/>
            <w:left w:w="108" w:type="dxa"/>
            <w:bottom w:w="0" w:type="dxa"/>
            <w:right w:w="108" w:type="dxa"/>
          </w:tblCellMar>
        </w:tblPrEx>
        <w:tc>
          <w:tcPr>
            <w:tcW w:w="19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93" w:beforeAutospacing="0" w:after="93" w:afterAutospacing="0"/>
              <w:ind w:left="0" w:right="0"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我的承办</w:t>
            </w:r>
          </w:p>
        </w:tc>
        <w:tc>
          <w:tcPr>
            <w:tcW w:w="83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93" w:beforeAutospacing="0" w:after="93" w:afterAutospacing="0"/>
              <w:ind w:left="0" w:right="0" w:firstLine="0" w:firstLineChars="0"/>
              <w:rPr>
                <w:rFonts w:hint="eastAsia" w:asciiTheme="minorEastAsia" w:hAnsiTheme="minorEastAsia" w:eastAsiaTheme="minorEastAsia" w:cstheme="minorEastAsia"/>
                <w:kern w:val="0"/>
                <w:sz w:val="20"/>
                <w:lang w:eastAsia="zh-CN"/>
              </w:rPr>
            </w:pPr>
            <w:r>
              <w:rPr>
                <w:rFonts w:hint="eastAsia" w:asciiTheme="minorEastAsia" w:hAnsiTheme="minorEastAsia" w:eastAsiaTheme="minorEastAsia" w:cstheme="minorEastAsia"/>
                <w:kern w:val="0"/>
                <w:sz w:val="20"/>
                <w:lang w:eastAsia="zh-CN"/>
              </w:rPr>
              <w:t>可以办理需要用户承办的单据，并且可再次指定新的承办人。同时可以查看单据的审批信息，支持多种形式的查询方式，并对重点单据进行关注。</w:t>
            </w:r>
          </w:p>
        </w:tc>
      </w:tr>
      <w:tr>
        <w:tblPrEx>
          <w:tblCellMar>
            <w:top w:w="0" w:type="dxa"/>
            <w:left w:w="108" w:type="dxa"/>
            <w:bottom w:w="0" w:type="dxa"/>
            <w:right w:w="108" w:type="dxa"/>
          </w:tblCellMar>
        </w:tblPrEx>
        <w:tc>
          <w:tcPr>
            <w:tcW w:w="19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93" w:beforeAutospacing="0" w:after="93" w:afterAutospacing="0"/>
              <w:ind w:left="0" w:right="0"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审批数据查询</w:t>
            </w:r>
          </w:p>
        </w:tc>
        <w:tc>
          <w:tcPr>
            <w:tcW w:w="83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93" w:beforeAutospacing="0" w:after="93" w:afterAutospacing="0"/>
              <w:ind w:left="0" w:right="0" w:firstLine="0" w:firstLineChars="0"/>
              <w:rPr>
                <w:rFonts w:hint="eastAsia" w:asciiTheme="minorEastAsia" w:hAnsiTheme="minorEastAsia" w:eastAsiaTheme="minorEastAsia" w:cstheme="minorEastAsia"/>
                <w:kern w:val="0"/>
                <w:sz w:val="20"/>
                <w:lang w:val="en-US" w:eastAsia="zh-CN"/>
              </w:rPr>
            </w:pPr>
            <w:r>
              <w:rPr>
                <w:rFonts w:hint="eastAsia" w:asciiTheme="minorEastAsia" w:hAnsiTheme="minorEastAsia" w:eastAsiaTheme="minorEastAsia" w:cstheme="minorEastAsia"/>
                <w:kern w:val="0"/>
                <w:sz w:val="20"/>
                <w:lang w:eastAsia="zh-CN"/>
              </w:rPr>
              <w:t>可以搜索、查看审批视图，支持导出为</w:t>
            </w:r>
            <w:r>
              <w:rPr>
                <w:rFonts w:hint="eastAsia" w:asciiTheme="minorEastAsia" w:hAnsiTheme="minorEastAsia" w:eastAsiaTheme="minorEastAsia" w:cstheme="minorEastAsia"/>
                <w:kern w:val="0"/>
                <w:sz w:val="20"/>
                <w:lang w:val="en-US" w:eastAsia="zh-CN"/>
              </w:rPr>
              <w:t>excel文档。可以通过发起申请，新建查询视图。</w:t>
            </w:r>
          </w:p>
        </w:tc>
      </w:tr>
      <w:tr>
        <w:tblPrEx>
          <w:tblCellMar>
            <w:top w:w="0" w:type="dxa"/>
            <w:left w:w="108" w:type="dxa"/>
            <w:bottom w:w="0" w:type="dxa"/>
            <w:right w:w="108" w:type="dxa"/>
          </w:tblCellMar>
        </w:tblPrEx>
        <w:tc>
          <w:tcPr>
            <w:tcW w:w="19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93" w:beforeAutospacing="0" w:after="93" w:afterAutospacing="0"/>
              <w:ind w:left="0" w:right="0"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代理申请</w:t>
            </w:r>
          </w:p>
        </w:tc>
        <w:tc>
          <w:tcPr>
            <w:tcW w:w="83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93" w:beforeAutospacing="0" w:after="93" w:afterAutospacing="0"/>
              <w:ind w:left="0" w:right="0" w:firstLine="0" w:firstLineChars="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可以代理他人发起单据。</w:t>
            </w:r>
          </w:p>
        </w:tc>
      </w:tr>
      <w:tr>
        <w:tblPrEx>
          <w:tblCellMar>
            <w:top w:w="0" w:type="dxa"/>
            <w:left w:w="108" w:type="dxa"/>
            <w:bottom w:w="0" w:type="dxa"/>
            <w:right w:w="108" w:type="dxa"/>
          </w:tblCellMar>
        </w:tblPrEx>
        <w:tc>
          <w:tcPr>
            <w:tcW w:w="19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93" w:beforeAutospacing="0" w:after="93" w:afterAutospacing="0"/>
              <w:ind w:left="0" w:right="0"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转发查阅</w:t>
            </w:r>
          </w:p>
        </w:tc>
        <w:tc>
          <w:tcPr>
            <w:tcW w:w="83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93" w:beforeAutospacing="0" w:after="93" w:afterAutospacing="0"/>
              <w:ind w:left="0" w:right="0" w:firstLine="0" w:firstLineChars="0"/>
              <w:rPr>
                <w:rFonts w:hint="eastAsia" w:asciiTheme="minorEastAsia" w:hAnsiTheme="minorEastAsia" w:eastAsiaTheme="minorEastAsia" w:cstheme="minorEastAsia"/>
                <w:kern w:val="0"/>
                <w:sz w:val="20"/>
                <w:lang w:eastAsia="zh-CN"/>
              </w:rPr>
            </w:pPr>
            <w:r>
              <w:rPr>
                <w:rFonts w:hint="eastAsia" w:asciiTheme="minorEastAsia" w:hAnsiTheme="minorEastAsia" w:eastAsiaTheme="minorEastAsia" w:cstheme="minorEastAsia"/>
                <w:kern w:val="0"/>
                <w:sz w:val="20"/>
                <w:lang w:eastAsia="zh-CN"/>
              </w:rPr>
              <w:t>可以查看被转发来的单据和转发留言。支持多种形式的查询方式，并对重点单据进行关注。</w:t>
            </w:r>
          </w:p>
        </w:tc>
      </w:tr>
      <w:tr>
        <w:tblPrEx>
          <w:tblCellMar>
            <w:top w:w="0" w:type="dxa"/>
            <w:left w:w="108" w:type="dxa"/>
            <w:bottom w:w="0" w:type="dxa"/>
            <w:right w:w="108" w:type="dxa"/>
          </w:tblCellMar>
        </w:tblPrEx>
        <w:tc>
          <w:tcPr>
            <w:tcW w:w="19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93" w:beforeAutospacing="0" w:after="93" w:afterAutospacing="0"/>
              <w:ind w:left="0" w:right="0"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我的关注</w:t>
            </w:r>
          </w:p>
        </w:tc>
        <w:tc>
          <w:tcPr>
            <w:tcW w:w="83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93" w:beforeAutospacing="0" w:after="93" w:afterAutospacing="0"/>
              <w:ind w:left="0" w:right="0" w:firstLine="0" w:firstLineChars="0"/>
              <w:rPr>
                <w:rFonts w:hint="eastAsia" w:asciiTheme="minorEastAsia" w:hAnsiTheme="minorEastAsia" w:eastAsiaTheme="minorEastAsia" w:cstheme="minorEastAsia"/>
                <w:kern w:val="0"/>
                <w:sz w:val="20"/>
                <w:lang w:eastAsia="zh-CN"/>
              </w:rPr>
            </w:pPr>
            <w:r>
              <w:rPr>
                <w:rFonts w:hint="eastAsia" w:asciiTheme="minorEastAsia" w:hAnsiTheme="minorEastAsia" w:eastAsiaTheme="minorEastAsia" w:cstheme="minorEastAsia"/>
                <w:color w:val="auto"/>
                <w:kern w:val="0"/>
                <w:sz w:val="20"/>
                <w:lang w:eastAsia="zh-CN"/>
              </w:rPr>
              <w:t>查看关注的单据内容和审批信息，可以转存、催办和转发操作。</w:t>
            </w:r>
            <w:r>
              <w:rPr>
                <w:rFonts w:hint="eastAsia" w:asciiTheme="minorEastAsia" w:hAnsiTheme="minorEastAsia" w:eastAsiaTheme="minorEastAsia" w:cstheme="minorEastAsia"/>
                <w:kern w:val="0"/>
                <w:sz w:val="20"/>
                <w:lang w:eastAsia="zh-CN"/>
              </w:rPr>
              <w:t>支持多种形式的查询方式。</w:t>
            </w:r>
          </w:p>
        </w:tc>
      </w:tr>
      <w:tr>
        <w:tblPrEx>
          <w:tblCellMar>
            <w:top w:w="0" w:type="dxa"/>
            <w:left w:w="108" w:type="dxa"/>
            <w:bottom w:w="0" w:type="dxa"/>
            <w:right w:w="108" w:type="dxa"/>
          </w:tblCellMar>
        </w:tblPrEx>
        <w:tc>
          <w:tcPr>
            <w:tcW w:w="19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93" w:beforeAutospacing="0" w:after="93" w:afterAutospacing="0"/>
              <w:ind w:left="0" w:right="0"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审批管理</w:t>
            </w:r>
          </w:p>
        </w:tc>
        <w:tc>
          <w:tcPr>
            <w:tcW w:w="83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93" w:beforeAutospacing="0" w:after="93" w:afterAutospacing="0"/>
              <w:ind w:left="0" w:right="0" w:firstLine="0" w:firstLineChars="0"/>
              <w:rPr>
                <w:rFonts w:hint="eastAsia" w:asciiTheme="minorEastAsia" w:hAnsiTheme="minorEastAsia" w:eastAsiaTheme="minorEastAsia" w:cstheme="minorEastAsia"/>
                <w:kern w:val="0"/>
                <w:sz w:val="20"/>
                <w:lang w:eastAsia="zh-CN"/>
              </w:rPr>
            </w:pPr>
            <w:r>
              <w:rPr>
                <w:rFonts w:hint="eastAsia" w:asciiTheme="minorEastAsia" w:hAnsiTheme="minorEastAsia" w:eastAsiaTheme="minorEastAsia" w:cstheme="minorEastAsia"/>
                <w:kern w:val="0"/>
                <w:sz w:val="20"/>
                <w:lang w:eastAsia="zh-CN"/>
              </w:rPr>
              <w:t>可以监控所有模板的单据，并且对审批情况进行干预。可以查看审批效率，审批耗时和审批超时情况。可以对模板、流程、和节点信息等功能进行自定义设置。</w:t>
            </w:r>
          </w:p>
        </w:tc>
      </w:tr>
    </w:tbl>
    <w:p>
      <w:pPr>
        <w:pStyle w:val="6"/>
        <w:spacing w:before="93" w:after="93"/>
        <w:ind w:firstLine="420"/>
        <w:jc w:val="center"/>
        <w:rPr>
          <w:rFonts w:hint="eastAsia" w:asciiTheme="minorEastAsia" w:hAnsiTheme="minorEastAsia" w:eastAsiaTheme="minorEastAsia"/>
          <w:sz w:val="21"/>
          <w:szCs w:val="21"/>
        </w:rPr>
      </w:pPr>
    </w:p>
    <w:p>
      <w:pPr>
        <w:pStyle w:val="6"/>
        <w:spacing w:before="93" w:after="93"/>
        <w:ind w:firstLine="420"/>
        <w:jc w:val="center"/>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rPr>
        <w:t xml:space="preserve">图表 </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STYLEREF 2 \s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4.1</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SEQ 图表 \* ARABIC \s 2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1</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功能组件概览</w:t>
      </w:r>
    </w:p>
    <w:p>
      <w:pPr>
        <w:pStyle w:val="4"/>
        <w:spacing w:before="93" w:after="93"/>
        <w:ind w:left="425" w:leftChars="0" w:firstLineChars="0"/>
      </w:pPr>
      <w:bookmarkStart w:id="14" w:name="_Toc3406"/>
      <w:r>
        <w:rPr>
          <w:rFonts w:hint="eastAsia"/>
        </w:rPr>
        <w:t>常用功能介绍</w:t>
      </w:r>
      <w:bookmarkEnd w:id="14"/>
      <w:bookmarkStart w:id="15" w:name="_Toc381788581"/>
      <w:bookmarkStart w:id="16" w:name="_Toc422497944"/>
      <w:bookmarkStart w:id="17" w:name="_Toc354489763"/>
      <w:bookmarkStart w:id="18" w:name="_Toc422499525"/>
    </w:p>
    <w:p>
      <w:pPr>
        <w:bidi w:val="0"/>
        <w:rPr>
          <w:rFonts w:hint="default"/>
          <w:lang w:val="en-US" w:eastAsia="zh-CN"/>
        </w:rPr>
      </w:pPr>
      <w:r>
        <w:t>工作流引擎是系统核心流程能力，可将用户线下业务流程和审批过程在系统中进行搭建及应用，实现流程发起、业务办理、催办、归档、监控、数据汇总和流程效率分析等功能。工作流引擎完全自主研发，支持多系统数据集成、流程数据查询统计以及多终端移动处理。</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lang w:val="en-US" w:eastAsia="zh-CN"/>
        </w:rPr>
      </w:pPr>
      <w:r>
        <w:rPr>
          <w:rFonts w:hint="default"/>
          <w:lang w:val="en-US" w:eastAsia="zh-CN"/>
        </w:rPr>
        <w:t>专业化的流程引擎、可视化的表单工具、智能化的数据视图，支持固定流程、自由流程、自由顺序流程、条件流程、分支流程、并发流程、协同流程、</w:t>
      </w:r>
      <w:r>
        <w:rPr>
          <w:rFonts w:hint="eastAsia"/>
          <w:lang w:val="en-US" w:eastAsia="zh-CN"/>
        </w:rPr>
        <w:t>震</w:t>
      </w:r>
      <w:r>
        <w:rPr>
          <w:rFonts w:hint="default"/>
          <w:lang w:val="en-US" w:eastAsia="zh-CN"/>
        </w:rPr>
        <w:t>荡流程、阅办流程、半自由流程等十余种不同类型的流程跳转。支持可视化表单制作，轻巧灵便，全方位权限管理细到表单上的一个数字。</w:t>
      </w:r>
      <w:r>
        <w:rPr>
          <w:rFonts w:hint="eastAsia"/>
          <w:lang w:val="en-US" w:eastAsia="zh-CN"/>
        </w:rPr>
        <w:t>并且</w:t>
      </w:r>
      <w:r>
        <w:rPr>
          <w:rFonts w:hint="default"/>
          <w:lang w:val="en-US" w:eastAsia="zh-CN"/>
        </w:rPr>
        <w:t>支持与第三方系统做数据集成。</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lang w:val="en-US" w:eastAsia="zh-CN"/>
        </w:rPr>
      </w:pPr>
      <w:r>
        <w:rPr>
          <w:rFonts w:hint="default"/>
          <w:lang w:val="en-US" w:eastAsia="zh-CN"/>
        </w:rPr>
        <w:t>易用性是信息管理平台是否能够顺利使用的主要标准。</w:t>
      </w:r>
      <w:r>
        <w:rPr>
          <w:rFonts w:hint="eastAsia"/>
          <w:lang w:val="en-US" w:eastAsia="zh-CN"/>
        </w:rPr>
        <w:t>系统</w:t>
      </w:r>
      <w:r>
        <w:rPr>
          <w:rFonts w:hint="default"/>
          <w:lang w:val="en-US" w:eastAsia="zh-CN"/>
        </w:rPr>
        <w:t>的操作画面一致，多数操作均为一键执行，真正做到了简捷、易用、及时、高效。</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lang w:val="en-US" w:eastAsia="zh-CN"/>
        </w:rPr>
      </w:pPr>
      <w:r>
        <w:rPr>
          <w:rFonts w:hint="default"/>
          <w:lang w:val="en-US" w:eastAsia="zh-CN"/>
        </w:rPr>
        <w:t>便捷审批方式可通过系统消息、门户信息、手机推送、微信消息、手机短信、电子邮件等多种途径达到及时审批的高效性。除此之外，还具有批量审批</w:t>
      </w:r>
      <w:r>
        <w:rPr>
          <w:rFonts w:hint="eastAsia"/>
          <w:lang w:val="en-US" w:eastAsia="zh-CN"/>
        </w:rPr>
        <w:t>、</w:t>
      </w:r>
      <w:r>
        <w:rPr>
          <w:rFonts w:hint="default"/>
          <w:lang w:val="en-US" w:eastAsia="zh-CN"/>
        </w:rPr>
        <w:t>快捷意见</w:t>
      </w:r>
      <w:r>
        <w:rPr>
          <w:rFonts w:hint="eastAsia"/>
          <w:lang w:val="en-US" w:eastAsia="zh-CN"/>
        </w:rPr>
        <w:t>、</w:t>
      </w:r>
      <w:r>
        <w:rPr>
          <w:rFonts w:hint="default"/>
          <w:lang w:val="en-US" w:eastAsia="zh-CN"/>
        </w:rPr>
        <w:t>表单数据自动填充</w:t>
      </w:r>
      <w:r>
        <w:rPr>
          <w:rFonts w:hint="eastAsia"/>
          <w:lang w:val="en-US" w:eastAsia="zh-CN"/>
        </w:rPr>
        <w:t>、</w:t>
      </w:r>
      <w:r>
        <w:rPr>
          <w:rFonts w:hint="default"/>
          <w:lang w:val="en-US" w:eastAsia="zh-CN"/>
        </w:rPr>
        <w:t>数据提取</w:t>
      </w:r>
      <w:r>
        <w:rPr>
          <w:rFonts w:hint="eastAsia"/>
          <w:lang w:val="en-US" w:eastAsia="zh-CN"/>
        </w:rPr>
        <w:t>、</w:t>
      </w:r>
      <w:r>
        <w:rPr>
          <w:rFonts w:hint="default"/>
          <w:lang w:val="en-US" w:eastAsia="zh-CN"/>
        </w:rPr>
        <w:t>代理审批</w:t>
      </w:r>
      <w:r>
        <w:rPr>
          <w:rFonts w:hint="eastAsia"/>
          <w:lang w:val="en-US" w:eastAsia="zh-CN"/>
        </w:rPr>
        <w:t>、</w:t>
      </w:r>
      <w:r>
        <w:rPr>
          <w:rFonts w:hint="default"/>
          <w:lang w:val="en-US" w:eastAsia="zh-CN"/>
        </w:rPr>
        <w:t>退文</w:t>
      </w:r>
      <w:r>
        <w:rPr>
          <w:rFonts w:hint="eastAsia"/>
          <w:lang w:val="en-US" w:eastAsia="zh-CN"/>
        </w:rPr>
        <w:t>、</w:t>
      </w:r>
      <w:r>
        <w:rPr>
          <w:rFonts w:hint="default"/>
          <w:lang w:val="en-US" w:eastAsia="zh-CN"/>
        </w:rPr>
        <w:t>加签</w:t>
      </w:r>
      <w:r>
        <w:rPr>
          <w:rFonts w:hint="eastAsia"/>
          <w:lang w:val="en-US" w:eastAsia="zh-CN"/>
        </w:rPr>
        <w:t>、</w:t>
      </w:r>
      <w:r>
        <w:rPr>
          <w:rFonts w:hint="default"/>
          <w:lang w:val="en-US" w:eastAsia="zh-CN"/>
        </w:rPr>
        <w:t>丰富的审批查询</w:t>
      </w:r>
      <w:r>
        <w:rPr>
          <w:rFonts w:hint="eastAsia"/>
          <w:lang w:val="en-US" w:eastAsia="zh-CN"/>
        </w:rPr>
        <w:t>、</w:t>
      </w:r>
      <w:r>
        <w:rPr>
          <w:rFonts w:hint="default"/>
          <w:lang w:val="en-US" w:eastAsia="zh-CN"/>
        </w:rPr>
        <w:t>与他方系统的数据整合</w:t>
      </w:r>
      <w:r>
        <w:rPr>
          <w:rFonts w:hint="eastAsia"/>
          <w:lang w:val="en-US" w:eastAsia="zh-CN"/>
        </w:rPr>
        <w:t>、</w:t>
      </w:r>
      <w:r>
        <w:rPr>
          <w:rFonts w:hint="default"/>
          <w:lang w:val="en-US" w:eastAsia="zh-CN"/>
        </w:rPr>
        <w:t>审批数据查询统计</w:t>
      </w:r>
      <w:r>
        <w:rPr>
          <w:rFonts w:hint="eastAsia"/>
          <w:lang w:val="en-US" w:eastAsia="zh-CN"/>
        </w:rPr>
        <w:t>等便捷操作的特点。</w:t>
      </w:r>
    </w:p>
    <w:p>
      <w:pPr>
        <w:ind w:left="0" w:leftChars="0" w:firstLine="0" w:firstLineChars="0"/>
        <w:rPr>
          <w:rFonts w:hint="default"/>
          <w:lang w:val="en-US" w:eastAsia="zh-CN"/>
        </w:rPr>
      </w:pPr>
    </w:p>
    <w:p>
      <w:pPr>
        <w:pStyle w:val="5"/>
        <w:spacing w:before="312"/>
        <w:ind w:left="425" w:leftChars="0" w:firstLineChars="0"/>
      </w:pPr>
      <w:bookmarkStart w:id="19" w:name="_Toc17149"/>
      <w:r>
        <w:rPr>
          <w:rFonts w:hint="eastAsia"/>
        </w:rPr>
        <w:t>起草申请</w:t>
      </w:r>
      <w:bookmarkEnd w:id="19"/>
    </w:p>
    <w:p>
      <w:pPr>
        <w:spacing w:before="93" w:after="93"/>
        <w:ind w:firstLine="420"/>
        <w:rPr>
          <w:rFonts w:hint="default" w:eastAsia="微软雅黑"/>
          <w:lang w:val="en-US" w:eastAsia="zh-CN"/>
        </w:rPr>
      </w:pPr>
      <w:r>
        <w:rPr>
          <w:rFonts w:hint="eastAsia"/>
          <w:lang w:val="en-US" w:eastAsia="zh-CN"/>
        </w:rPr>
        <w:t>用户可通过起草申请模块进行审批业务的发起，系统支持按照类别、模板名称快速查找到要发起的单据，支持按照网格和列表两种模式进行审批单据展示，用户可根据个人习惯进行切换显示；针对已经发起过的单据，再次发起时，可直接选择历史数据进行一键带入到当前发起界面中，避免每次重复录入相同的信息，另外，在当前单据发起时，系统中已存在的信息，比如当前申请人的姓名、部门、岗位等均支持自动带出，无需手动录入，为用户提供了高效的工作方式；在发起阶段，支持上传附件、关联其他与本人相关的所有单据，这样在审批过程中相关领导可进行附件查看以及与当前审批内容相关联的其他单据信息查看，一张单据上即可查看所有相关联内容，实现了业务单据之间的紧密关联，为审批工作提供了数据及业务支撑。</w:t>
      </w:r>
    </w:p>
    <w:p>
      <w:pPr>
        <w:keepNext w:val="0"/>
        <w:keepLines w:val="0"/>
        <w:pageBreakBefore w:val="0"/>
        <w:widowControl w:val="0"/>
        <w:kinsoku/>
        <w:wordWrap/>
        <w:overflowPunct/>
        <w:topLinePunct w:val="0"/>
        <w:autoSpaceDE/>
        <w:autoSpaceDN/>
        <w:bidi w:val="0"/>
        <w:adjustRightInd w:val="0"/>
        <w:snapToGrid w:val="0"/>
        <w:spacing w:before="93" w:after="93"/>
        <w:ind w:firstLine="0" w:firstLineChars="0"/>
        <w:jc w:val="center"/>
        <w:textAlignment w:val="auto"/>
      </w:pPr>
      <w:r>
        <w:drawing>
          <wp:inline distT="0" distB="0" distL="114300" distR="114300">
            <wp:extent cx="6410325" cy="3194050"/>
            <wp:effectExtent l="9525" t="9525" r="19050" b="15875"/>
            <wp:docPr id="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
                    <pic:cNvPicPr>
                      <a:picLocks noChangeAspect="1"/>
                    </pic:cNvPicPr>
                  </pic:nvPicPr>
                  <pic:blipFill>
                    <a:blip r:embed="rId18"/>
                    <a:stretch>
                      <a:fillRect/>
                    </a:stretch>
                  </pic:blipFill>
                  <pic:spPr>
                    <a:xfrm>
                      <a:off x="0" y="0"/>
                      <a:ext cx="6410325" cy="3194050"/>
                    </a:xfrm>
                    <a:prstGeom prst="rect">
                      <a:avLst/>
                    </a:prstGeom>
                    <a:noFill/>
                    <a:ln>
                      <a:solidFill>
                        <a:srgbClr val="EAEAEA"/>
                      </a:solidFill>
                    </a:ln>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 xml:space="preserve">图表 </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STYLEREF 2 \s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4.2</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SEQ 图表 \* ARABIC \s 2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1</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起草申请画面</w:t>
      </w:r>
    </w:p>
    <w:p>
      <w:pPr>
        <w:keepNext w:val="0"/>
        <w:keepLines w:val="0"/>
        <w:pageBreakBefore w:val="0"/>
        <w:widowControl w:val="0"/>
        <w:kinsoku/>
        <w:wordWrap/>
        <w:overflowPunct/>
        <w:topLinePunct w:val="0"/>
        <w:autoSpaceDE/>
        <w:autoSpaceDN/>
        <w:bidi w:val="0"/>
        <w:adjustRightInd w:val="0"/>
        <w:snapToGrid w:val="0"/>
        <w:spacing w:before="93" w:after="93"/>
        <w:ind w:firstLine="0" w:firstLineChars="0"/>
        <w:jc w:val="center"/>
        <w:textAlignment w:val="auto"/>
      </w:pPr>
      <w:r>
        <w:drawing>
          <wp:inline distT="0" distB="0" distL="114300" distR="114300">
            <wp:extent cx="6410325" cy="3196590"/>
            <wp:effectExtent l="9525" t="9525" r="19050" b="13335"/>
            <wp:docPr id="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
                    <pic:cNvPicPr>
                      <a:picLocks noChangeAspect="1"/>
                    </pic:cNvPicPr>
                  </pic:nvPicPr>
                  <pic:blipFill>
                    <a:blip r:embed="rId19"/>
                    <a:stretch>
                      <a:fillRect/>
                    </a:stretch>
                  </pic:blipFill>
                  <pic:spPr>
                    <a:xfrm>
                      <a:off x="0" y="0"/>
                      <a:ext cx="6410325" cy="3196590"/>
                    </a:xfrm>
                    <a:prstGeom prst="rect">
                      <a:avLst/>
                    </a:prstGeom>
                    <a:noFill/>
                    <a:ln>
                      <a:solidFill>
                        <a:srgbClr val="EAEAEA"/>
                      </a:solidFill>
                    </a:ln>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rPr>
      </w:pPr>
      <w:r>
        <w:rPr>
          <w:rFonts w:hint="eastAsia" w:asciiTheme="minorEastAsia" w:hAnsiTheme="minorEastAsia" w:eastAsiaTheme="minorEastAsia"/>
          <w:sz w:val="21"/>
          <w:szCs w:val="21"/>
        </w:rPr>
        <w:t xml:space="preserve">图表 </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STYLEREF 2 \s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4.2</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SEQ 图表 \* ARABIC \s 2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2</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起草申请</w:t>
      </w:r>
      <w:r>
        <w:rPr>
          <w:rFonts w:hint="eastAsia" w:asciiTheme="minorEastAsia" w:hAnsiTheme="minorEastAsia" w:eastAsiaTheme="minorEastAsia"/>
          <w:sz w:val="21"/>
          <w:szCs w:val="21"/>
          <w:lang w:val="en-US" w:eastAsia="zh-CN"/>
        </w:rPr>
        <w:t>提交画面</w:t>
      </w:r>
    </w:p>
    <w:p>
      <w:pPr>
        <w:pStyle w:val="5"/>
        <w:spacing w:before="312"/>
        <w:ind w:left="425" w:leftChars="0" w:firstLineChars="0"/>
      </w:pPr>
      <w:bookmarkStart w:id="20" w:name="_Toc6885"/>
      <w:bookmarkStart w:id="21" w:name="_Toc422497948"/>
      <w:bookmarkStart w:id="22" w:name="_Toc422499529"/>
      <w:bookmarkStart w:id="23" w:name="_Toc381788585"/>
      <w:r>
        <w:rPr>
          <w:rFonts w:hint="eastAsia"/>
        </w:rPr>
        <w:t>我的申请</w:t>
      </w:r>
      <w:bookmarkEnd w:id="20"/>
    </w:p>
    <w:p>
      <w:pPr>
        <w:pStyle w:val="33"/>
        <w:numPr>
          <w:ilvl w:val="0"/>
          <w:numId w:val="0"/>
        </w:numPr>
        <w:ind w:firstLine="420" w:firstLineChars="200"/>
        <w:rPr>
          <w:szCs w:val="21"/>
        </w:rPr>
      </w:pPr>
      <w:r>
        <w:rPr>
          <w:rFonts w:hint="eastAsia"/>
        </w:rPr>
        <w:t>表单提交以后，申请人可在“我的申请”下查阅已发起申请单的实际审核状况。可查阅相关审核人的审批时间、审批意见，可将个人申请转发给其他人，还可以将表单转存到文档中心或文件柜下，也可将表单分发给他人阅读。另外，当审批中的某个审核人长时间未审批，申请人可以给当前审批人发催办信息；</w:t>
      </w:r>
      <w:r>
        <w:rPr>
          <w:rFonts w:hint="eastAsia"/>
          <w:szCs w:val="21"/>
        </w:rPr>
        <w:t>若当前申请还没有被处理，则可以撤销当前申请。</w:t>
      </w:r>
    </w:p>
    <w:p>
      <w:pPr>
        <w:pStyle w:val="33"/>
        <w:keepNext w:val="0"/>
        <w:keepLines w:val="0"/>
        <w:pageBreakBefore w:val="0"/>
        <w:widowControl w:val="0"/>
        <w:numPr>
          <w:ilvl w:val="0"/>
          <w:numId w:val="0"/>
        </w:numPr>
        <w:kinsoku/>
        <w:wordWrap/>
        <w:overflowPunct/>
        <w:topLinePunct w:val="0"/>
        <w:autoSpaceDE/>
        <w:autoSpaceDN/>
        <w:bidi w:val="0"/>
        <w:adjustRightInd w:val="0"/>
        <w:snapToGrid w:val="0"/>
        <w:ind w:left="0" w:firstLine="0" w:firstLineChars="0"/>
        <w:jc w:val="center"/>
        <w:textAlignment w:val="auto"/>
      </w:pPr>
      <w:r>
        <w:drawing>
          <wp:inline distT="0" distB="0" distL="114300" distR="114300">
            <wp:extent cx="6410325" cy="3194050"/>
            <wp:effectExtent l="9525" t="9525" r="19050" b="15875"/>
            <wp:docPr id="3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
                    <pic:cNvPicPr>
                      <a:picLocks noChangeAspect="1"/>
                    </pic:cNvPicPr>
                  </pic:nvPicPr>
                  <pic:blipFill>
                    <a:blip r:embed="rId20"/>
                    <a:stretch>
                      <a:fillRect/>
                    </a:stretch>
                  </pic:blipFill>
                  <pic:spPr>
                    <a:xfrm>
                      <a:off x="0" y="0"/>
                      <a:ext cx="6410325" cy="3194050"/>
                    </a:xfrm>
                    <a:prstGeom prst="rect">
                      <a:avLst/>
                    </a:prstGeom>
                    <a:noFill/>
                    <a:ln>
                      <a:solidFill>
                        <a:srgbClr val="EAEAEA"/>
                      </a:solidFill>
                    </a:ln>
                  </pic:spPr>
                </pic:pic>
              </a:graphicData>
            </a:graphic>
          </wp:inline>
        </w:drawing>
      </w:r>
    </w:p>
    <w:p>
      <w:pPr>
        <w:pStyle w:val="6"/>
        <w:numPr>
          <w:ilvl w:val="0"/>
          <w:numId w:val="0"/>
        </w:numPr>
        <w:ind w:left="420" w:hanging="420" w:hangingChars="20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图表 </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STYLEREF 2 \s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4.2</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SEQ 图表 \* ARABIC \s 2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3</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我的申请画面</w:t>
      </w:r>
    </w:p>
    <w:p>
      <w:pPr>
        <w:pStyle w:val="5"/>
        <w:spacing w:before="312"/>
        <w:ind w:left="425" w:leftChars="0" w:firstLineChars="0"/>
      </w:pPr>
      <w:bookmarkStart w:id="24" w:name="_Toc15425"/>
      <w:r>
        <w:rPr>
          <w:rFonts w:hint="eastAsia"/>
        </w:rPr>
        <w:t>待我审批</w:t>
      </w:r>
      <w:bookmarkEnd w:id="21"/>
      <w:bookmarkEnd w:id="22"/>
      <w:bookmarkEnd w:id="23"/>
      <w:bookmarkEnd w:id="24"/>
    </w:p>
    <w:p>
      <w:pPr>
        <w:pStyle w:val="33"/>
        <w:numPr>
          <w:ilvl w:val="0"/>
          <w:numId w:val="0"/>
        </w:numPr>
        <w:ind w:firstLine="420" w:firstLineChars="200"/>
        <w:rPr>
          <w:szCs w:val="21"/>
        </w:rPr>
      </w:pPr>
      <w:r>
        <w:rPr>
          <w:rFonts w:hint="eastAsia"/>
          <w:szCs w:val="21"/>
        </w:rPr>
        <w:t>有文件需要审批的时候，系统会有多种提醒方式，包括右下角气泡提醒、电子邮件提醒、手机短信提醒、手机APP推送等等。用户可以对数据进行分发和转发，对于多条内容相似的数据，可以选择批量审批功能，直接审批多条待审记录，并且签名和意见都可以进行保存。另外，对需要审核的重要审批记录可以进行加签、退文、修改（可以设置修改权限，修改过的文件具有痕迹保留功能）等各种操作，可以通过密码来加盖电子签章或个人印章；还可以设置代理人审批；自定义某模板待我审批的明细显示列等</w:t>
      </w:r>
      <w:r>
        <w:rPr>
          <w:rFonts w:hint="eastAsia"/>
          <w:szCs w:val="21"/>
          <w:lang w:val="en-US" w:eastAsia="zh-CN"/>
        </w:rPr>
        <w:t>功能</w:t>
      </w:r>
      <w:r>
        <w:rPr>
          <w:rFonts w:hint="eastAsia"/>
          <w:szCs w:val="21"/>
        </w:rPr>
        <w:t>。</w:t>
      </w:r>
    </w:p>
    <w:p>
      <w:pPr>
        <w:pStyle w:val="33"/>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pPr>
      <w:r>
        <w:drawing>
          <wp:inline distT="0" distB="0" distL="114300" distR="114300">
            <wp:extent cx="6410325" cy="3194050"/>
            <wp:effectExtent l="9525" t="9525" r="19050" b="15875"/>
            <wp:docPr id="3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4"/>
                    <pic:cNvPicPr>
                      <a:picLocks noChangeAspect="1"/>
                    </pic:cNvPicPr>
                  </pic:nvPicPr>
                  <pic:blipFill>
                    <a:blip r:embed="rId21"/>
                    <a:stretch>
                      <a:fillRect/>
                    </a:stretch>
                  </pic:blipFill>
                  <pic:spPr>
                    <a:xfrm>
                      <a:off x="0" y="0"/>
                      <a:ext cx="6410325" cy="3194050"/>
                    </a:xfrm>
                    <a:prstGeom prst="rect">
                      <a:avLst/>
                    </a:prstGeom>
                    <a:noFill/>
                    <a:ln>
                      <a:solidFill>
                        <a:srgbClr val="EAEAEA"/>
                      </a:solidFill>
                    </a:ln>
                  </pic:spPr>
                </pic:pic>
              </a:graphicData>
            </a:graphic>
          </wp:inline>
        </w:drawing>
      </w:r>
    </w:p>
    <w:p>
      <w:pPr>
        <w:pStyle w:val="6"/>
        <w:numPr>
          <w:ilvl w:val="0"/>
          <w:numId w:val="0"/>
        </w:numPr>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 xml:space="preserve">图表 </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STYLEREF 2 \s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4.2</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SEQ 图表 \* ARABIC \s 2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4</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待我审批列表画面</w:t>
      </w:r>
    </w:p>
    <w:p>
      <w:pPr>
        <w:rPr>
          <w:rFonts w:hint="default" w:eastAsiaTheme="minorEastAsia"/>
          <w:lang w:val="en-US" w:eastAsia="zh-CN"/>
        </w:rPr>
      </w:pPr>
      <w:r>
        <w:rPr>
          <w:rFonts w:hint="eastAsia" w:asciiTheme="minorEastAsia" w:hAnsiTheme="minorEastAsia" w:eastAsiaTheme="minorEastAsia"/>
          <w:sz w:val="21"/>
          <w:szCs w:val="21"/>
          <w:lang w:val="en-US" w:eastAsia="zh-CN"/>
        </w:rPr>
        <w:t>在进行审批时，审批的动作节点及显示的按钮名称均可以进行自定义，不同审批人员可拥有不同审批权限。同一张单据上的内容，可自定义哪些审批人员可以查看，哪些审批人员可以编辑，系统的权限可根据不同业务进行灵活的配置。审批人可维护自己的快捷意见，在审批的时候直接可选择自己的常用审批意见，在审批提交后，可将自己的签名自动落到表单上，支持手写签批、电子签章等多种方式。</w:t>
      </w:r>
    </w:p>
    <w:p>
      <w:pPr>
        <w:spacing w:before="93" w:after="93" w:line="360" w:lineRule="auto"/>
        <w:ind w:firstLine="0" w:firstLineChars="0"/>
        <w:jc w:val="center"/>
      </w:pPr>
      <w:r>
        <w:drawing>
          <wp:inline distT="0" distB="0" distL="114300" distR="114300">
            <wp:extent cx="6410325" cy="3196590"/>
            <wp:effectExtent l="9525" t="9525" r="19050" b="13335"/>
            <wp:docPr id="3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5"/>
                    <pic:cNvPicPr>
                      <a:picLocks noChangeAspect="1"/>
                    </pic:cNvPicPr>
                  </pic:nvPicPr>
                  <pic:blipFill>
                    <a:blip r:embed="rId22"/>
                    <a:stretch>
                      <a:fillRect/>
                    </a:stretch>
                  </pic:blipFill>
                  <pic:spPr>
                    <a:xfrm>
                      <a:off x="0" y="0"/>
                      <a:ext cx="6410325" cy="3196590"/>
                    </a:xfrm>
                    <a:prstGeom prst="rect">
                      <a:avLst/>
                    </a:prstGeom>
                    <a:noFill/>
                    <a:ln>
                      <a:solidFill>
                        <a:srgbClr val="EAEAEA"/>
                      </a:solidFill>
                    </a:ln>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图表 </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STYLEREF 2 \s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4.2</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SEQ 图表 \* ARABIC \s 2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5</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审批某表单画面</w:t>
      </w:r>
    </w:p>
    <w:p>
      <w:pPr>
        <w:pStyle w:val="6"/>
        <w:spacing w:before="93" w:after="93"/>
        <w:ind w:firstLine="420"/>
        <w:jc w:val="left"/>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审批人员可配置自己需要展示的列表名称，系统支持按照审批人员自己定义的明细列表显示方式进行展示，也可以按照系统默认的列表方式进行展示，两种方式随意切换，完全可根据审批人员的个性化要求进行配置。</w:t>
      </w:r>
    </w:p>
    <w:p>
      <w:pPr>
        <w:spacing w:before="93" w:after="93" w:line="360" w:lineRule="auto"/>
        <w:ind w:firstLine="0" w:firstLineChars="0"/>
        <w:jc w:val="center"/>
      </w:pPr>
      <w:r>
        <w:drawing>
          <wp:inline distT="0" distB="0" distL="114300" distR="114300">
            <wp:extent cx="6410325" cy="3196590"/>
            <wp:effectExtent l="9525" t="9525" r="19050" b="13335"/>
            <wp:docPr id="4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6"/>
                    <pic:cNvPicPr>
                      <a:picLocks noChangeAspect="1"/>
                    </pic:cNvPicPr>
                  </pic:nvPicPr>
                  <pic:blipFill>
                    <a:blip r:embed="rId23"/>
                    <a:stretch>
                      <a:fillRect/>
                    </a:stretch>
                  </pic:blipFill>
                  <pic:spPr>
                    <a:xfrm>
                      <a:off x="0" y="0"/>
                      <a:ext cx="6410325" cy="3196590"/>
                    </a:xfrm>
                    <a:prstGeom prst="rect">
                      <a:avLst/>
                    </a:prstGeom>
                    <a:noFill/>
                    <a:ln>
                      <a:solidFill>
                        <a:srgbClr val="EAEAEA"/>
                      </a:solidFill>
                    </a:ln>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rPr>
        <w:t xml:space="preserve">图表 </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STYLEREF 2 \s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4.2</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SEQ 图表 \* ARABIC \s 2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6</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待我审批自定义明细列画面</w:t>
      </w:r>
    </w:p>
    <w:p>
      <w:pPr>
        <w:pStyle w:val="5"/>
        <w:spacing w:before="312"/>
        <w:ind w:left="425" w:leftChars="0" w:firstLineChars="0"/>
      </w:pPr>
      <w:bookmarkStart w:id="25" w:name="_Toc422499530"/>
      <w:bookmarkStart w:id="26" w:name="_Toc422497949"/>
      <w:bookmarkStart w:id="27" w:name="_Toc381788586"/>
      <w:bookmarkStart w:id="28" w:name="_Toc24867"/>
      <w:r>
        <w:rPr>
          <w:rFonts w:hint="eastAsia"/>
        </w:rPr>
        <w:t>经我审批</w:t>
      </w:r>
      <w:bookmarkEnd w:id="25"/>
      <w:bookmarkEnd w:id="26"/>
      <w:bookmarkEnd w:id="27"/>
      <w:bookmarkEnd w:id="28"/>
    </w:p>
    <w:p>
      <w:pPr>
        <w:pStyle w:val="33"/>
        <w:numPr>
          <w:ilvl w:val="0"/>
          <w:numId w:val="0"/>
        </w:numPr>
        <w:ind w:firstLine="420" w:firstLineChars="200"/>
        <w:rPr>
          <w:szCs w:val="21"/>
        </w:rPr>
      </w:pPr>
      <w:r>
        <w:rPr>
          <w:rFonts w:hint="eastAsia"/>
          <w:szCs w:val="21"/>
        </w:rPr>
        <w:t>审批人可以在“经我审批”列表中查看自己审批过的审批单，对审批单也可进行转存、分发、转发、催办、查看审批信息、搜索、加关注、设置自定义明细列表、撤回等操作。</w:t>
      </w:r>
    </w:p>
    <w:p>
      <w:pPr>
        <w:pStyle w:val="33"/>
        <w:numPr>
          <w:ilvl w:val="0"/>
          <w:numId w:val="0"/>
        </w:numPr>
        <w:jc w:val="center"/>
      </w:pPr>
      <w:r>
        <w:drawing>
          <wp:inline distT="0" distB="0" distL="114300" distR="114300">
            <wp:extent cx="6410325" cy="3037840"/>
            <wp:effectExtent l="0" t="0" r="9525" b="10160"/>
            <wp:docPr id="4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7"/>
                    <pic:cNvPicPr>
                      <a:picLocks noChangeAspect="1"/>
                    </pic:cNvPicPr>
                  </pic:nvPicPr>
                  <pic:blipFill>
                    <a:blip r:embed="rId24"/>
                    <a:stretch>
                      <a:fillRect/>
                    </a:stretch>
                  </pic:blipFill>
                  <pic:spPr>
                    <a:xfrm>
                      <a:off x="0" y="0"/>
                      <a:ext cx="6410325" cy="3037840"/>
                    </a:xfrm>
                    <a:prstGeom prst="rect">
                      <a:avLst/>
                    </a:prstGeom>
                    <a:noFill/>
                    <a:ln>
                      <a:noFill/>
                    </a:ln>
                  </pic:spPr>
                </pic:pic>
              </a:graphicData>
            </a:graphic>
          </wp:inline>
        </w:drawing>
      </w:r>
    </w:p>
    <w:p>
      <w:pPr>
        <w:pStyle w:val="6"/>
        <w:numPr>
          <w:ilvl w:val="0"/>
          <w:numId w:val="0"/>
        </w:num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 xml:space="preserve">图表 </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STYLEREF 2 \s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4.2</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SEQ 图表 \* ARABIC \s 2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7</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经我审批</w:t>
      </w:r>
    </w:p>
    <w:p>
      <w:pPr>
        <w:pStyle w:val="33"/>
        <w:numPr>
          <w:ilvl w:val="0"/>
          <w:numId w:val="0"/>
        </w:numPr>
        <w:ind w:firstLine="420" w:firstLineChars="200"/>
        <w:rPr>
          <w:szCs w:val="21"/>
        </w:rPr>
      </w:pPr>
      <w:r>
        <w:rPr>
          <w:rFonts w:hint="eastAsia"/>
          <w:szCs w:val="21"/>
        </w:rPr>
        <w:t>也可以打开具体的审批单，查看当前记录的审批流转记录、流程图、审批日志、分发记录、转发记录、阅读记录、承办信息等内容，并且可以进行打印操作。</w:t>
      </w:r>
    </w:p>
    <w:p>
      <w:pPr>
        <w:pStyle w:val="33"/>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pPr>
      <w:r>
        <w:drawing>
          <wp:inline distT="0" distB="0" distL="114300" distR="114300">
            <wp:extent cx="6402705" cy="3191510"/>
            <wp:effectExtent l="9525" t="9525" r="26670" b="18415"/>
            <wp:docPr id="4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8"/>
                    <pic:cNvPicPr>
                      <a:picLocks noChangeAspect="1"/>
                    </pic:cNvPicPr>
                  </pic:nvPicPr>
                  <pic:blipFill>
                    <a:blip r:embed="rId25"/>
                    <a:stretch>
                      <a:fillRect/>
                    </a:stretch>
                  </pic:blipFill>
                  <pic:spPr>
                    <a:xfrm>
                      <a:off x="0" y="0"/>
                      <a:ext cx="6402705" cy="3191510"/>
                    </a:xfrm>
                    <a:prstGeom prst="rect">
                      <a:avLst/>
                    </a:prstGeom>
                    <a:noFill/>
                    <a:ln>
                      <a:solidFill>
                        <a:srgbClr val="EAEAEA"/>
                      </a:solidFill>
                    </a:ln>
                  </pic:spPr>
                </pic:pic>
              </a:graphicData>
            </a:graphic>
          </wp:inline>
        </w:drawing>
      </w:r>
    </w:p>
    <w:p>
      <w:pPr>
        <w:pStyle w:val="6"/>
        <w:numPr>
          <w:ilvl w:val="0"/>
          <w:numId w:val="0"/>
        </w:numPr>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 xml:space="preserve">图表 </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STYLEREF 2 \s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4.2</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SEQ 图表 \* ARABIC \s 2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8</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流转记录</w:t>
      </w:r>
    </w:p>
    <w:p>
      <w:pPr>
        <w:pStyle w:val="5"/>
        <w:spacing w:before="312"/>
        <w:ind w:left="425" w:leftChars="0" w:firstLineChars="0"/>
      </w:pPr>
      <w:bookmarkStart w:id="29" w:name="_Toc2828"/>
      <w:r>
        <w:rPr>
          <w:rFonts w:hint="eastAsia"/>
          <w:lang w:val="en-US" w:eastAsia="zh-CN"/>
        </w:rPr>
        <w:t>待我阅读</w:t>
      </w:r>
      <w:bookmarkEnd w:id="29"/>
    </w:p>
    <w:p>
      <w:pPr>
        <w:pStyle w:val="33"/>
        <w:numPr>
          <w:ilvl w:val="0"/>
          <w:numId w:val="0"/>
        </w:numPr>
        <w:ind w:firstLine="420" w:firstLineChars="200"/>
        <w:rPr>
          <w:rFonts w:hint="default"/>
          <w:szCs w:val="21"/>
          <w:lang w:val="en-US" w:eastAsia="zh-CN"/>
        </w:rPr>
      </w:pPr>
      <w:r>
        <w:rPr>
          <w:rFonts w:hint="eastAsia"/>
          <w:szCs w:val="21"/>
          <w:lang w:val="en-US" w:eastAsia="zh-CN"/>
        </w:rPr>
        <w:t>待我阅读菜单下会将</w:t>
      </w:r>
      <w:r>
        <w:rPr>
          <w:rFonts w:hint="eastAsia"/>
          <w:szCs w:val="21"/>
        </w:rPr>
        <w:t>需要当前用户阅读的审批单清晰地展示出来。用户只需轻轻一点，就能查看这些审批单的详细内容。在阅读过程中，如果用户有任何想法或建议，都可以在系统中填写自己的阅读意见。</w:t>
      </w:r>
    </w:p>
    <w:p>
      <w:pPr>
        <w:ind w:left="0" w:leftChars="0" w:firstLine="0" w:firstLineChars="0"/>
        <w:jc w:val="center"/>
      </w:pPr>
      <w:r>
        <w:drawing>
          <wp:inline distT="0" distB="0" distL="114300" distR="114300">
            <wp:extent cx="6410325" cy="3194050"/>
            <wp:effectExtent l="9525" t="9525" r="19050" b="15875"/>
            <wp:docPr id="4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9"/>
                    <pic:cNvPicPr>
                      <a:picLocks noChangeAspect="1"/>
                    </pic:cNvPicPr>
                  </pic:nvPicPr>
                  <pic:blipFill>
                    <a:blip r:embed="rId26"/>
                    <a:stretch>
                      <a:fillRect/>
                    </a:stretch>
                  </pic:blipFill>
                  <pic:spPr>
                    <a:xfrm>
                      <a:off x="0" y="0"/>
                      <a:ext cx="6410325" cy="3194050"/>
                    </a:xfrm>
                    <a:prstGeom prst="rect">
                      <a:avLst/>
                    </a:prstGeom>
                    <a:noFill/>
                    <a:ln>
                      <a:solidFill>
                        <a:srgbClr val="EAEAEA"/>
                      </a:solidFill>
                    </a:ln>
                  </pic:spPr>
                </pic:pic>
              </a:graphicData>
            </a:graphic>
          </wp:inline>
        </w:drawing>
      </w:r>
    </w:p>
    <w:p>
      <w:pPr>
        <w:pStyle w:val="6"/>
        <w:numPr>
          <w:ilvl w:val="0"/>
          <w:numId w:val="0"/>
        </w:numPr>
        <w:jc w:val="center"/>
        <w:rPr>
          <w:rFonts w:hint="default"/>
          <w:lang w:val="en-US" w:eastAsia="zh-CN"/>
        </w:rPr>
      </w:pPr>
      <w:r>
        <w:rPr>
          <w:rFonts w:hint="eastAsia" w:asciiTheme="minorEastAsia" w:hAnsiTheme="minorEastAsia" w:eastAsiaTheme="minorEastAsia"/>
          <w:sz w:val="21"/>
          <w:szCs w:val="21"/>
        </w:rPr>
        <w:t xml:space="preserve">图表 </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STYLEREF 2 \s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4.2</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SEQ 图表 \* ARABIC \s 2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9</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val="en-US" w:eastAsia="zh-CN"/>
        </w:rPr>
        <w:t xml:space="preserve">  待我阅读</w:t>
      </w:r>
    </w:p>
    <w:p>
      <w:pPr>
        <w:pStyle w:val="5"/>
        <w:spacing w:before="312"/>
        <w:ind w:left="425" w:leftChars="0" w:firstLineChars="0"/>
      </w:pPr>
      <w:bookmarkStart w:id="30" w:name="_Toc26968"/>
      <w:r>
        <w:rPr>
          <w:rFonts w:hint="eastAsia"/>
          <w:lang w:val="en-US" w:eastAsia="zh-CN"/>
        </w:rPr>
        <w:t>我的承办</w:t>
      </w:r>
      <w:bookmarkEnd w:id="30"/>
    </w:p>
    <w:p>
      <w:pPr>
        <w:pStyle w:val="33"/>
        <w:numPr>
          <w:ilvl w:val="0"/>
          <w:numId w:val="0"/>
        </w:numPr>
        <w:ind w:firstLine="420" w:firstLineChars="200"/>
        <w:rPr>
          <w:rFonts w:hint="eastAsia"/>
          <w:szCs w:val="21"/>
          <w:lang w:val="en-US" w:eastAsia="zh-CN"/>
        </w:rPr>
      </w:pPr>
      <w:r>
        <w:rPr>
          <w:rFonts w:hint="eastAsia"/>
          <w:szCs w:val="21"/>
          <w:lang w:val="en-US" w:eastAsia="zh-CN"/>
        </w:rPr>
        <w:t>需要用户承办的审批单会在我的承办菜单下展示出来。这些审批单可能涉及各种业务流程，用户可以在这个菜单下对这些审批单进行详细查看办理，并可根据实际情况填写办理意见。</w:t>
      </w:r>
    </w:p>
    <w:p>
      <w:pPr>
        <w:pStyle w:val="33"/>
        <w:numPr>
          <w:ilvl w:val="0"/>
          <w:numId w:val="0"/>
        </w:numPr>
        <w:jc w:val="center"/>
      </w:pPr>
      <w:r>
        <w:drawing>
          <wp:inline distT="0" distB="0" distL="114300" distR="114300">
            <wp:extent cx="6412230" cy="3052445"/>
            <wp:effectExtent l="9525" t="9525" r="17145" b="2413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27"/>
                    <a:stretch>
                      <a:fillRect/>
                    </a:stretch>
                  </pic:blipFill>
                  <pic:spPr>
                    <a:xfrm>
                      <a:off x="0" y="0"/>
                      <a:ext cx="6412230" cy="3052445"/>
                    </a:xfrm>
                    <a:prstGeom prst="rect">
                      <a:avLst/>
                    </a:prstGeom>
                    <a:noFill/>
                    <a:ln>
                      <a:solidFill>
                        <a:srgbClr val="EAEAEA"/>
                      </a:solidFill>
                    </a:ln>
                  </pic:spPr>
                </pic:pic>
              </a:graphicData>
            </a:graphic>
          </wp:inline>
        </w:drawing>
      </w:r>
    </w:p>
    <w:p>
      <w:pPr>
        <w:pStyle w:val="6"/>
        <w:numPr>
          <w:ilvl w:val="0"/>
          <w:numId w:val="0"/>
        </w:numPr>
        <w:jc w:val="center"/>
        <w:rPr>
          <w:rFonts w:hint="default"/>
          <w:lang w:val="en-US" w:eastAsia="zh-CN"/>
        </w:rPr>
      </w:pPr>
      <w:r>
        <w:rPr>
          <w:rFonts w:hint="eastAsia" w:asciiTheme="minorEastAsia" w:hAnsiTheme="minorEastAsia" w:eastAsiaTheme="minorEastAsia"/>
          <w:sz w:val="21"/>
          <w:szCs w:val="21"/>
        </w:rPr>
        <w:t xml:space="preserve">图表 </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STYLEREF 2 \s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4.2</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SEQ 图表 \* ARABIC \s 2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10</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val="en-US" w:eastAsia="zh-CN"/>
        </w:rPr>
        <w:t xml:space="preserve">  我的承办</w:t>
      </w:r>
    </w:p>
    <w:p>
      <w:pPr>
        <w:pStyle w:val="5"/>
        <w:spacing w:before="312"/>
        <w:ind w:left="425" w:leftChars="0" w:firstLineChars="0"/>
      </w:pPr>
      <w:bookmarkStart w:id="31" w:name="_Toc2383"/>
      <w:r>
        <w:rPr>
          <w:rFonts w:hint="eastAsia"/>
          <w:lang w:val="en-US" w:eastAsia="zh-CN"/>
        </w:rPr>
        <w:t>转发查阅</w:t>
      </w:r>
      <w:bookmarkEnd w:id="31"/>
    </w:p>
    <w:p>
      <w:pPr>
        <w:pStyle w:val="33"/>
        <w:numPr>
          <w:ilvl w:val="0"/>
          <w:numId w:val="0"/>
        </w:numPr>
        <w:ind w:firstLine="420" w:firstLineChars="200"/>
        <w:rPr>
          <w:rFonts w:hint="eastAsia"/>
          <w:szCs w:val="21"/>
          <w:lang w:val="en-US" w:eastAsia="zh-CN"/>
        </w:rPr>
      </w:pPr>
      <w:r>
        <w:rPr>
          <w:rFonts w:hint="eastAsia"/>
          <w:szCs w:val="21"/>
          <w:lang w:val="en-US" w:eastAsia="zh-CN"/>
        </w:rPr>
        <w:t>在转发查阅菜单下用户能够查看到他人转发给自己查阅的申请单，这些申请单可能涉及各种重要的业务流程和关键信息。用户可以点击进入查看单子中的详细内容，包括申请的具体事项、相关数据、审批进度等，从而全面了解审批单涉及的业务详情。</w:t>
      </w:r>
    </w:p>
    <w:p>
      <w:pPr>
        <w:pStyle w:val="33"/>
        <w:numPr>
          <w:ilvl w:val="0"/>
          <w:numId w:val="0"/>
        </w:numPr>
        <w:jc w:val="center"/>
      </w:pPr>
      <w:r>
        <w:drawing>
          <wp:inline distT="0" distB="0" distL="114300" distR="114300">
            <wp:extent cx="6410325" cy="3199130"/>
            <wp:effectExtent l="9525" t="9525" r="19050" b="10795"/>
            <wp:docPr id="4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0"/>
                    <pic:cNvPicPr>
                      <a:picLocks noChangeAspect="1"/>
                    </pic:cNvPicPr>
                  </pic:nvPicPr>
                  <pic:blipFill>
                    <a:blip r:embed="rId28"/>
                    <a:stretch>
                      <a:fillRect/>
                    </a:stretch>
                  </pic:blipFill>
                  <pic:spPr>
                    <a:xfrm>
                      <a:off x="0" y="0"/>
                      <a:ext cx="6410325" cy="3199130"/>
                    </a:xfrm>
                    <a:prstGeom prst="rect">
                      <a:avLst/>
                    </a:prstGeom>
                    <a:noFill/>
                    <a:ln>
                      <a:solidFill>
                        <a:srgbClr val="EAEAEA"/>
                      </a:solidFill>
                    </a:ln>
                  </pic:spPr>
                </pic:pic>
              </a:graphicData>
            </a:graphic>
          </wp:inline>
        </w:drawing>
      </w:r>
    </w:p>
    <w:p>
      <w:pPr>
        <w:pStyle w:val="6"/>
        <w:numPr>
          <w:ilvl w:val="0"/>
          <w:numId w:val="0"/>
        </w:numPr>
        <w:jc w:val="center"/>
        <w:rPr>
          <w:rFonts w:hint="default"/>
          <w:lang w:val="en-US" w:eastAsia="zh-CN"/>
        </w:rPr>
      </w:pPr>
      <w:r>
        <w:rPr>
          <w:rFonts w:hint="eastAsia" w:asciiTheme="minorEastAsia" w:hAnsiTheme="minorEastAsia" w:eastAsiaTheme="minorEastAsia"/>
          <w:sz w:val="21"/>
          <w:szCs w:val="21"/>
        </w:rPr>
        <w:t xml:space="preserve">图表 </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STYLEREF 2 \s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4.2</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SEQ 图表 \* ARABIC \s 2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11</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val="en-US" w:eastAsia="zh-CN"/>
        </w:rPr>
        <w:t xml:space="preserve">  转发查阅</w:t>
      </w:r>
    </w:p>
    <w:p>
      <w:pPr>
        <w:pStyle w:val="5"/>
        <w:spacing w:before="312"/>
        <w:ind w:left="425" w:leftChars="0" w:firstLineChars="0"/>
      </w:pPr>
      <w:bookmarkStart w:id="32" w:name="_Toc19465"/>
      <w:r>
        <w:rPr>
          <w:rFonts w:hint="eastAsia"/>
          <w:lang w:val="en-US" w:eastAsia="zh-CN"/>
        </w:rPr>
        <w:t>我的关注</w:t>
      </w:r>
      <w:bookmarkEnd w:id="32"/>
    </w:p>
    <w:p>
      <w:pPr>
        <w:pStyle w:val="33"/>
        <w:numPr>
          <w:ilvl w:val="0"/>
          <w:numId w:val="0"/>
        </w:numPr>
        <w:ind w:firstLine="420" w:firstLineChars="200"/>
        <w:rPr>
          <w:rFonts w:hint="eastAsia"/>
          <w:szCs w:val="21"/>
          <w:lang w:val="en-US" w:eastAsia="zh-CN"/>
        </w:rPr>
      </w:pPr>
      <w:r>
        <w:rPr>
          <w:rFonts w:hint="eastAsia"/>
          <w:szCs w:val="21"/>
          <w:lang w:val="en-US" w:eastAsia="zh-CN"/>
        </w:rPr>
        <w:t>我的关注菜单下集中展示出用户所关注的特定审批单，无论是重要的项目申请、紧急的费用报销，还是其他关键业务流程的审批单，都能在这里一目了然。用户无需在众多审批单中逐一查找，只需进入“我的关注”，就能随时了解这些审批单的最新动态，包括当前的审批状态、最新的审批意见以及下一步的流转方向等。</w:t>
      </w:r>
    </w:p>
    <w:p>
      <w:pPr>
        <w:pStyle w:val="33"/>
        <w:numPr>
          <w:ilvl w:val="0"/>
          <w:numId w:val="0"/>
        </w:numPr>
        <w:jc w:val="center"/>
      </w:pPr>
      <w:r>
        <w:drawing>
          <wp:inline distT="0" distB="0" distL="114300" distR="114300">
            <wp:extent cx="6410325" cy="3194050"/>
            <wp:effectExtent l="9525" t="9525" r="19050" b="15875"/>
            <wp:docPr id="4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1"/>
                    <pic:cNvPicPr>
                      <a:picLocks noChangeAspect="1"/>
                    </pic:cNvPicPr>
                  </pic:nvPicPr>
                  <pic:blipFill>
                    <a:blip r:embed="rId29"/>
                    <a:stretch>
                      <a:fillRect/>
                    </a:stretch>
                  </pic:blipFill>
                  <pic:spPr>
                    <a:xfrm>
                      <a:off x="0" y="0"/>
                      <a:ext cx="6410325" cy="3194050"/>
                    </a:xfrm>
                    <a:prstGeom prst="rect">
                      <a:avLst/>
                    </a:prstGeom>
                    <a:noFill/>
                    <a:ln>
                      <a:solidFill>
                        <a:srgbClr val="EAEAEA"/>
                      </a:solidFill>
                    </a:ln>
                  </pic:spPr>
                </pic:pic>
              </a:graphicData>
            </a:graphic>
          </wp:inline>
        </w:drawing>
      </w:r>
    </w:p>
    <w:p>
      <w:pPr>
        <w:pStyle w:val="6"/>
        <w:numPr>
          <w:ilvl w:val="0"/>
          <w:numId w:val="0"/>
        </w:numPr>
        <w:jc w:val="center"/>
        <w:rPr>
          <w:rFonts w:hint="default"/>
          <w:lang w:val="en-US" w:eastAsia="zh-CN"/>
        </w:rPr>
      </w:pPr>
      <w:r>
        <w:rPr>
          <w:rFonts w:hint="eastAsia" w:asciiTheme="minorEastAsia" w:hAnsiTheme="minorEastAsia" w:eastAsiaTheme="minorEastAsia"/>
          <w:sz w:val="21"/>
          <w:szCs w:val="21"/>
        </w:rPr>
        <w:t xml:space="preserve">图表 </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STYLEREF 2 \s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4.2</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SEQ 图表 \* ARABIC \s 2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12</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val="en-US" w:eastAsia="zh-CN"/>
        </w:rPr>
        <w:t xml:space="preserve">  我的关注</w:t>
      </w:r>
    </w:p>
    <w:p>
      <w:pPr>
        <w:pStyle w:val="5"/>
        <w:spacing w:before="312"/>
        <w:ind w:left="425" w:leftChars="0" w:firstLineChars="0"/>
      </w:pPr>
      <w:bookmarkStart w:id="33" w:name="_Toc25199"/>
      <w:bookmarkStart w:id="34" w:name="_Toc422499534"/>
      <w:bookmarkStart w:id="35" w:name="_Toc422497953"/>
      <w:bookmarkStart w:id="36" w:name="_Toc381788590"/>
      <w:r>
        <w:rPr>
          <w:rFonts w:hint="eastAsia"/>
          <w:lang w:val="en-US" w:eastAsia="zh-CN"/>
        </w:rPr>
        <w:t>委托审批</w:t>
      </w:r>
      <w:bookmarkEnd w:id="33"/>
    </w:p>
    <w:p>
      <w:pPr>
        <w:spacing w:before="93" w:after="93"/>
        <w:ind w:firstLine="420"/>
        <w:rPr>
          <w:rFonts w:hint="eastAsia"/>
          <w:lang w:val="en-US" w:eastAsia="zh-CN"/>
        </w:rPr>
      </w:pPr>
      <w:r>
        <w:rPr>
          <w:rFonts w:hint="eastAsia"/>
          <w:lang w:val="en-US" w:eastAsia="zh-CN"/>
        </w:rPr>
        <w:t>系统支持委托审批业务，包括委托申请、委托审批，用户可根据实际内容进行工作的委托，可交由他人代理申请或审批由自己负责的业务，不仅用户本人可进行委托业务设置，管理员或者有权限的人员也可以指定某些单据的委托人和委托代理人，从而保证工作不会因为特殊情况而被耽搁，保证工作的正常流转。</w:t>
      </w:r>
    </w:p>
    <w:p>
      <w:pPr>
        <w:spacing w:before="93" w:after="93"/>
        <w:ind w:firstLine="420"/>
        <w:rPr>
          <w:rFonts w:hint="eastAsia"/>
          <w:lang w:val="en-US" w:eastAsia="zh-CN"/>
        </w:rPr>
      </w:pPr>
      <w:r>
        <w:rPr>
          <w:rFonts w:hint="eastAsia"/>
          <w:lang w:val="en-US" w:eastAsia="zh-CN"/>
        </w:rPr>
        <w:t>委托代理申请人可在代理申请菜单下为某一委托人发起业务申请单；委托代理审批人可在待我审批菜单下代替委托人审批申请单。委托业务发生后，委托及委托代理人员可通过报表来查看委托的工作事项明细，便于掌握自己委托或代理的事项处理的情况。</w:t>
      </w:r>
    </w:p>
    <w:p>
      <w:pPr>
        <w:ind w:left="0" w:leftChars="0" w:firstLine="0" w:firstLineChars="0"/>
        <w:jc w:val="center"/>
      </w:pPr>
      <w:r>
        <w:drawing>
          <wp:inline distT="0" distB="0" distL="114300" distR="114300">
            <wp:extent cx="6410325" cy="3199130"/>
            <wp:effectExtent l="9525" t="9525" r="19050" b="10795"/>
            <wp:docPr id="4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2"/>
                    <pic:cNvPicPr>
                      <a:picLocks noChangeAspect="1"/>
                    </pic:cNvPicPr>
                  </pic:nvPicPr>
                  <pic:blipFill>
                    <a:blip r:embed="rId30"/>
                    <a:stretch>
                      <a:fillRect/>
                    </a:stretch>
                  </pic:blipFill>
                  <pic:spPr>
                    <a:xfrm>
                      <a:off x="0" y="0"/>
                      <a:ext cx="6410325" cy="3199130"/>
                    </a:xfrm>
                    <a:prstGeom prst="rect">
                      <a:avLst/>
                    </a:prstGeom>
                    <a:noFill/>
                    <a:ln>
                      <a:solidFill>
                        <a:srgbClr val="EAEAEA"/>
                      </a:solidFill>
                    </a:ln>
                  </pic:spPr>
                </pic:pic>
              </a:graphicData>
            </a:graphic>
          </wp:inline>
        </w:drawing>
      </w:r>
    </w:p>
    <w:p>
      <w:pPr>
        <w:pStyle w:val="6"/>
        <w:numPr>
          <w:ilvl w:val="0"/>
          <w:numId w:val="0"/>
        </w:numPr>
        <w:jc w:val="center"/>
        <w:rPr>
          <w:rFonts w:hint="default"/>
          <w:lang w:val="en-US" w:eastAsia="zh-CN"/>
        </w:rPr>
      </w:pPr>
      <w:r>
        <w:rPr>
          <w:rFonts w:hint="eastAsia" w:asciiTheme="minorEastAsia" w:hAnsiTheme="minorEastAsia" w:eastAsiaTheme="minorEastAsia"/>
          <w:sz w:val="21"/>
          <w:szCs w:val="21"/>
        </w:rPr>
        <w:t xml:space="preserve">图表 </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STYLEREF 2 \s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4.2</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SEQ 图表 \* ARABIC \s 2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13</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val="en-US" w:eastAsia="zh-CN"/>
        </w:rPr>
        <w:t xml:space="preserve">  代理申请</w:t>
      </w:r>
    </w:p>
    <w:p>
      <w:pPr>
        <w:spacing w:before="93" w:after="93"/>
        <w:ind w:firstLine="0" w:firstLineChars="0"/>
        <w:jc w:val="center"/>
      </w:pPr>
      <w:r>
        <w:drawing>
          <wp:inline distT="0" distB="0" distL="114300" distR="114300">
            <wp:extent cx="6416040" cy="3052445"/>
            <wp:effectExtent l="9525" t="9525" r="13335" b="24130"/>
            <wp:docPr id="2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
                    <pic:cNvPicPr>
                      <a:picLocks noChangeAspect="1"/>
                    </pic:cNvPicPr>
                  </pic:nvPicPr>
                  <pic:blipFill>
                    <a:blip r:embed="rId31"/>
                    <a:stretch>
                      <a:fillRect/>
                    </a:stretch>
                  </pic:blipFill>
                  <pic:spPr>
                    <a:xfrm>
                      <a:off x="0" y="0"/>
                      <a:ext cx="6416040" cy="3052445"/>
                    </a:xfrm>
                    <a:prstGeom prst="rect">
                      <a:avLst/>
                    </a:prstGeom>
                    <a:noFill/>
                    <a:ln>
                      <a:solidFill>
                        <a:srgbClr val="EAEAEA"/>
                      </a:solidFill>
                    </a:ln>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asciiTheme="minorEastAsia" w:hAnsiTheme="minorEastAsia" w:eastAsiaTheme="minorEastAsia"/>
          <w:sz w:val="21"/>
          <w:szCs w:val="21"/>
        </w:rPr>
        <w:t xml:space="preserve">图表 </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STYLEREF 2 \s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4.2</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SEQ 图表 \* ARABIC \s 2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14</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val="en-US" w:eastAsia="zh-CN"/>
        </w:rPr>
        <w:t xml:space="preserve">  委托明细</w:t>
      </w:r>
    </w:p>
    <w:p>
      <w:pPr>
        <w:pStyle w:val="5"/>
        <w:spacing w:before="312"/>
        <w:ind w:left="425" w:leftChars="0" w:firstLineChars="0"/>
      </w:pPr>
      <w:bookmarkStart w:id="37" w:name="_Toc381788587"/>
      <w:bookmarkStart w:id="38" w:name="_Toc422497950"/>
      <w:bookmarkStart w:id="39" w:name="_Toc422499531"/>
      <w:bookmarkStart w:id="40" w:name="_Toc28723"/>
      <w:r>
        <w:rPr>
          <w:rFonts w:hint="eastAsia"/>
        </w:rPr>
        <w:t>审批监控</w:t>
      </w:r>
      <w:bookmarkEnd w:id="37"/>
      <w:bookmarkEnd w:id="38"/>
      <w:bookmarkEnd w:id="39"/>
      <w:bookmarkEnd w:id="40"/>
    </w:p>
    <w:p>
      <w:pPr>
        <w:pStyle w:val="33"/>
        <w:numPr>
          <w:ilvl w:val="0"/>
          <w:numId w:val="0"/>
        </w:numPr>
        <w:ind w:firstLine="420" w:firstLineChars="200"/>
        <w:rPr>
          <w:szCs w:val="21"/>
        </w:rPr>
      </w:pPr>
      <w:r>
        <w:rPr>
          <w:rFonts w:hint="eastAsia"/>
          <w:szCs w:val="21"/>
        </w:rPr>
        <w:t>在审批监控功能中，用户可以查看所有正在审批和审批完毕的审批单，包括查看申请信息、当前状态、当前流程、审批流转记录等。可以同时选择多条数据分发和转发给需要查看的人员；对审批中的表单</w:t>
      </w:r>
      <w:r>
        <w:rPr>
          <w:rFonts w:hint="eastAsia"/>
          <w:szCs w:val="21"/>
          <w:lang w:val="en-US" w:eastAsia="zh-CN"/>
        </w:rPr>
        <w:t>可进行</w:t>
      </w:r>
      <w:r>
        <w:rPr>
          <w:rFonts w:hint="eastAsia"/>
          <w:szCs w:val="21"/>
        </w:rPr>
        <w:t>更改本步审批人</w:t>
      </w:r>
      <w:r>
        <w:rPr>
          <w:rFonts w:hint="eastAsia"/>
          <w:szCs w:val="21"/>
          <w:lang w:eastAsia="zh-CN"/>
        </w:rPr>
        <w:t>、</w:t>
      </w:r>
      <w:r>
        <w:rPr>
          <w:rFonts w:hint="eastAsia"/>
          <w:szCs w:val="21"/>
        </w:rPr>
        <w:t>结束审批</w:t>
      </w:r>
      <w:r>
        <w:rPr>
          <w:rFonts w:hint="eastAsia"/>
          <w:szCs w:val="21"/>
          <w:lang w:eastAsia="zh-CN"/>
        </w:rPr>
        <w:t>、</w:t>
      </w:r>
      <w:r>
        <w:rPr>
          <w:rFonts w:hint="eastAsia"/>
          <w:szCs w:val="21"/>
          <w:lang w:val="en-US" w:eastAsia="zh-CN"/>
        </w:rPr>
        <w:t>终止审批、</w:t>
      </w:r>
      <w:r>
        <w:rPr>
          <w:rFonts w:hint="eastAsia"/>
          <w:szCs w:val="21"/>
        </w:rPr>
        <w:t>催办</w:t>
      </w:r>
      <w:r>
        <w:rPr>
          <w:rFonts w:hint="eastAsia"/>
          <w:szCs w:val="21"/>
          <w:lang w:val="en-US" w:eastAsia="zh-CN"/>
        </w:rPr>
        <w:t>等操作</w:t>
      </w:r>
      <w:r>
        <w:rPr>
          <w:rFonts w:hint="eastAsia"/>
          <w:szCs w:val="21"/>
        </w:rPr>
        <w:t>；对审批完毕的审批单转存到选择的文档中心目录下；对于已经审批结束的表单，还可通过上步重新审批功能重新开启单据，进行审批；另外，也可删除错误的审批单，删除的审批单可以在回收站中查看，并根据实际情况进行彻底删除或者还原，进一步提高了数据的安全性。</w:t>
      </w:r>
    </w:p>
    <w:p>
      <w:pPr>
        <w:pStyle w:val="33"/>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pPr>
      <w:r>
        <w:drawing>
          <wp:inline distT="0" distB="0" distL="114300" distR="114300">
            <wp:extent cx="6410325" cy="3196590"/>
            <wp:effectExtent l="9525" t="9525" r="19050" b="13335"/>
            <wp:docPr id="4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3"/>
                    <pic:cNvPicPr>
                      <a:picLocks noChangeAspect="1"/>
                    </pic:cNvPicPr>
                  </pic:nvPicPr>
                  <pic:blipFill>
                    <a:blip r:embed="rId32"/>
                    <a:stretch>
                      <a:fillRect/>
                    </a:stretch>
                  </pic:blipFill>
                  <pic:spPr>
                    <a:xfrm>
                      <a:off x="0" y="0"/>
                      <a:ext cx="6410325" cy="3196590"/>
                    </a:xfrm>
                    <a:prstGeom prst="rect">
                      <a:avLst/>
                    </a:prstGeom>
                    <a:noFill/>
                    <a:ln>
                      <a:solidFill>
                        <a:srgbClr val="EAEAEA"/>
                      </a:solidFill>
                    </a:ln>
                  </pic:spPr>
                </pic:pic>
              </a:graphicData>
            </a:graphic>
          </wp:inline>
        </w:drawing>
      </w:r>
    </w:p>
    <w:p>
      <w:pPr>
        <w:pStyle w:val="6"/>
        <w:numPr>
          <w:ilvl w:val="0"/>
          <w:numId w:val="0"/>
        </w:numPr>
        <w:jc w:val="center"/>
        <w:rPr>
          <w:rFonts w:hint="eastAsia" w:asciiTheme="minorEastAsia" w:hAnsiTheme="minorEastAsia" w:eastAsiaTheme="minorEastAsia"/>
          <w:sz w:val="21"/>
          <w:szCs w:val="21"/>
          <w:lang w:val="en-US" w:eastAsia="zh-CN"/>
        </w:rPr>
      </w:pPr>
      <w:r>
        <w:rPr>
          <w:rFonts w:hint="eastAsia" w:asciiTheme="minorEastAsia" w:hAnsiTheme="minorEastAsia" w:eastAsiaTheme="minorEastAsia"/>
          <w:sz w:val="21"/>
          <w:szCs w:val="21"/>
        </w:rPr>
        <w:t xml:space="preserve">图表 </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STYLEREF 2 \s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4.2</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SEQ 图表 \* ARABIC \s 2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15</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审批监控</w:t>
      </w:r>
    </w:p>
    <w:p>
      <w:pPr>
        <w:pStyle w:val="5"/>
        <w:spacing w:before="312"/>
        <w:ind w:left="425" w:leftChars="0" w:firstLineChars="0"/>
      </w:pPr>
      <w:bookmarkStart w:id="41" w:name="_Toc19957"/>
      <w:r>
        <w:rPr>
          <w:rFonts w:hint="eastAsia"/>
        </w:rPr>
        <w:t>审批设置</w:t>
      </w:r>
      <w:bookmarkEnd w:id="34"/>
      <w:bookmarkEnd w:id="35"/>
      <w:bookmarkEnd w:id="36"/>
      <w:bookmarkEnd w:id="41"/>
    </w:p>
    <w:p>
      <w:pPr>
        <w:pStyle w:val="33"/>
        <w:numPr>
          <w:ilvl w:val="0"/>
          <w:numId w:val="0"/>
        </w:numPr>
        <w:ind w:firstLine="420" w:firstLineChars="200"/>
        <w:rPr>
          <w:rFonts w:hint="eastAsia"/>
          <w:szCs w:val="21"/>
        </w:rPr>
      </w:pPr>
      <w:r>
        <w:rPr>
          <w:rFonts w:hint="eastAsia"/>
          <w:szCs w:val="21"/>
        </w:rPr>
        <w:t>在审批设置中，用户可以对审批的相关操作进行设置，主要包括模板设置、流程和岗位设置、关键字</w:t>
      </w:r>
      <w:r>
        <w:rPr>
          <w:rFonts w:hint="eastAsia"/>
          <w:szCs w:val="21"/>
          <w:lang w:val="en-US" w:eastAsia="zh-CN"/>
        </w:rPr>
        <w:t>及</w:t>
      </w:r>
      <w:r>
        <w:rPr>
          <w:rFonts w:hint="eastAsia"/>
          <w:szCs w:val="21"/>
        </w:rPr>
        <w:t>红头设置、查询视图</w:t>
      </w:r>
      <w:r>
        <w:rPr>
          <w:rFonts w:hint="eastAsia"/>
          <w:szCs w:val="21"/>
          <w:lang w:val="en-US" w:eastAsia="zh-CN"/>
        </w:rPr>
        <w:t>及存储</w:t>
      </w:r>
      <w:r>
        <w:rPr>
          <w:rFonts w:hint="eastAsia"/>
          <w:szCs w:val="21"/>
        </w:rPr>
        <w:t>设置、消息提醒以及数据字典维护六个方面。</w:t>
      </w:r>
    </w:p>
    <w:p>
      <w:pPr>
        <w:spacing w:before="93" w:after="93"/>
        <w:ind w:firstLine="42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模板设置下，可根据单位实际业务设置模板的类别、模板的样式及审批流程、</w:t>
      </w:r>
      <w:r>
        <w:rPr>
          <w:rFonts w:hint="eastAsia" w:ascii="微软雅黑" w:hAnsi="微软雅黑" w:cs="微软雅黑"/>
          <w:lang w:val="en-US" w:eastAsia="zh-CN"/>
        </w:rPr>
        <w:t>模板库、自动流水号</w:t>
      </w:r>
      <w:r>
        <w:rPr>
          <w:rFonts w:hint="eastAsia" w:ascii="微软雅黑" w:hAnsi="微软雅黑" w:eastAsia="微软雅黑" w:cs="微软雅黑"/>
          <w:lang w:val="en-US" w:eastAsia="zh-CN"/>
        </w:rPr>
        <w:t>样式</w:t>
      </w:r>
      <w:r>
        <w:rPr>
          <w:rFonts w:hint="eastAsia" w:ascii="微软雅黑" w:hAnsi="微软雅黑" w:cs="微软雅黑"/>
          <w:lang w:val="en-US" w:eastAsia="zh-CN"/>
        </w:rPr>
        <w:t>、明细表样式、LOGO图片</w:t>
      </w:r>
      <w:r>
        <w:rPr>
          <w:rFonts w:hint="eastAsia" w:ascii="微软雅黑" w:hAnsi="微软雅黑" w:eastAsia="微软雅黑" w:cs="微软雅黑"/>
          <w:lang w:val="en-US" w:eastAsia="zh-CN"/>
        </w:rPr>
        <w:t>等。</w:t>
      </w:r>
    </w:p>
    <w:p>
      <w:pPr>
        <w:spacing w:before="93" w:after="93"/>
        <w:ind w:firstLine="42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流程和</w:t>
      </w:r>
      <w:r>
        <w:rPr>
          <w:rFonts w:hint="eastAsia" w:ascii="微软雅黑" w:hAnsi="微软雅黑" w:cs="微软雅黑"/>
          <w:lang w:val="en-US" w:eastAsia="zh-CN"/>
        </w:rPr>
        <w:t>岗位</w:t>
      </w:r>
      <w:r>
        <w:rPr>
          <w:rFonts w:hint="eastAsia" w:ascii="微软雅黑" w:hAnsi="微软雅黑" w:eastAsia="微软雅黑" w:cs="微软雅黑"/>
          <w:lang w:val="en-US" w:eastAsia="zh-CN"/>
        </w:rPr>
        <w:t>下，可预定义</w:t>
      </w:r>
      <w:r>
        <w:rPr>
          <w:rFonts w:hint="eastAsia" w:ascii="微软雅黑" w:hAnsi="微软雅黑" w:cs="微软雅黑"/>
          <w:lang w:val="en-US" w:eastAsia="zh-CN"/>
        </w:rPr>
        <w:t>审批</w:t>
      </w:r>
      <w:r>
        <w:rPr>
          <w:rFonts w:hint="eastAsia" w:ascii="微软雅黑" w:hAnsi="微软雅黑" w:eastAsia="微软雅黑" w:cs="微软雅黑"/>
          <w:lang w:val="en-US" w:eastAsia="zh-CN"/>
        </w:rPr>
        <w:t>流程，在设置模板流程时可直接调用；</w:t>
      </w:r>
      <w:r>
        <w:rPr>
          <w:rFonts w:hint="eastAsia" w:ascii="微软雅黑" w:hAnsi="微软雅黑" w:cs="微软雅黑"/>
          <w:lang w:val="en-US" w:eastAsia="zh-CN"/>
        </w:rPr>
        <w:t>审批动作设置</w:t>
      </w:r>
      <w:r>
        <w:rPr>
          <w:rFonts w:hint="eastAsia" w:ascii="微软雅黑" w:hAnsi="微软雅黑" w:eastAsia="微软雅黑" w:cs="微软雅黑"/>
          <w:lang w:val="en-US" w:eastAsia="zh-CN"/>
        </w:rPr>
        <w:t>中内置了多种</w:t>
      </w:r>
      <w:r>
        <w:rPr>
          <w:rFonts w:hint="eastAsia" w:ascii="微软雅黑" w:hAnsi="微软雅黑" w:cs="微软雅黑"/>
          <w:lang w:val="en-US" w:eastAsia="zh-CN"/>
        </w:rPr>
        <w:t>审批</w:t>
      </w:r>
      <w:r>
        <w:rPr>
          <w:rFonts w:hint="eastAsia" w:ascii="微软雅黑" w:hAnsi="微软雅黑" w:eastAsia="微软雅黑" w:cs="微软雅黑"/>
          <w:lang w:val="en-US" w:eastAsia="zh-CN"/>
        </w:rPr>
        <w:t>动作，并支持自定义创建</w:t>
      </w:r>
      <w:r>
        <w:rPr>
          <w:rFonts w:hint="eastAsia" w:ascii="微软雅黑" w:hAnsi="微软雅黑" w:cs="微软雅黑"/>
          <w:lang w:val="en-US" w:eastAsia="zh-CN"/>
        </w:rPr>
        <w:t>；流程岗位中可定义人员的岗位以供流程流转使用，并且支持一人多岗</w:t>
      </w:r>
      <w:r>
        <w:rPr>
          <w:rFonts w:hint="eastAsia" w:ascii="微软雅黑" w:hAnsi="微软雅黑" w:eastAsia="微软雅黑" w:cs="微软雅黑"/>
          <w:lang w:val="en-US" w:eastAsia="zh-CN"/>
        </w:rPr>
        <w:t>。</w:t>
      </w:r>
    </w:p>
    <w:p>
      <w:pPr>
        <w:spacing w:before="93" w:after="93"/>
        <w:ind w:firstLine="420"/>
        <w:rPr>
          <w:rFonts w:hint="eastAsia" w:ascii="微软雅黑" w:hAnsi="微软雅黑" w:eastAsia="微软雅黑" w:cs="微软雅黑"/>
          <w:lang w:val="en-US" w:eastAsia="zh-CN"/>
        </w:rPr>
      </w:pPr>
      <w:r>
        <w:rPr>
          <w:rFonts w:hint="eastAsia" w:ascii="微软雅黑" w:hAnsi="微软雅黑" w:cs="微软雅黑"/>
          <w:lang w:val="en-US" w:eastAsia="zh-CN"/>
        </w:rPr>
        <w:t>关键字</w:t>
      </w:r>
      <w:r>
        <w:rPr>
          <w:rFonts w:hint="eastAsia" w:ascii="微软雅黑" w:hAnsi="微软雅黑" w:eastAsia="微软雅黑" w:cs="微软雅黑"/>
          <w:lang w:val="en-US" w:eastAsia="zh-CN"/>
        </w:rPr>
        <w:t>和红头下，可设置文件红头、</w:t>
      </w:r>
      <w:r>
        <w:rPr>
          <w:rFonts w:hint="eastAsia" w:ascii="微软雅黑" w:hAnsi="微软雅黑" w:cs="微软雅黑"/>
          <w:lang w:val="en-US" w:eastAsia="zh-CN"/>
        </w:rPr>
        <w:t>关键字</w:t>
      </w:r>
      <w:r>
        <w:rPr>
          <w:rFonts w:hint="eastAsia" w:ascii="微软雅黑" w:hAnsi="微软雅黑" w:eastAsia="微软雅黑" w:cs="微软雅黑"/>
          <w:lang w:val="en-US" w:eastAsia="zh-CN"/>
        </w:rPr>
        <w:t>类别、</w:t>
      </w:r>
      <w:r>
        <w:rPr>
          <w:rFonts w:hint="eastAsia" w:ascii="微软雅黑" w:hAnsi="微软雅黑" w:cs="微软雅黑"/>
          <w:lang w:val="en-US" w:eastAsia="zh-CN"/>
        </w:rPr>
        <w:t>关键字</w:t>
      </w:r>
      <w:r>
        <w:rPr>
          <w:rFonts w:hint="eastAsia" w:ascii="微软雅黑" w:hAnsi="微软雅黑" w:eastAsia="微软雅黑" w:cs="微软雅黑"/>
          <w:lang w:val="en-US" w:eastAsia="zh-CN"/>
        </w:rPr>
        <w:t>、发布类别。</w:t>
      </w:r>
    </w:p>
    <w:p>
      <w:pPr>
        <w:spacing w:before="93" w:after="93"/>
        <w:ind w:firstLine="420"/>
        <w:rPr>
          <w:rFonts w:hint="eastAsia" w:ascii="微软雅黑" w:hAnsi="微软雅黑" w:eastAsia="微软雅黑" w:cs="微软雅黑"/>
          <w:lang w:val="en-US" w:eastAsia="zh-CN"/>
        </w:rPr>
      </w:pPr>
      <w:r>
        <w:rPr>
          <w:rFonts w:hint="eastAsia" w:ascii="微软雅黑" w:hAnsi="微软雅黑" w:cs="微软雅黑"/>
          <w:lang w:val="en-US" w:eastAsia="zh-CN"/>
        </w:rPr>
        <w:t>查询视图及存储设置</w:t>
      </w:r>
      <w:r>
        <w:rPr>
          <w:rFonts w:hint="eastAsia" w:ascii="微软雅黑" w:hAnsi="微软雅黑" w:eastAsia="微软雅黑" w:cs="微软雅黑"/>
          <w:lang w:val="en-US" w:eastAsia="zh-CN"/>
        </w:rPr>
        <w:t>下，</w:t>
      </w:r>
      <w:r>
        <w:rPr>
          <w:rFonts w:hint="eastAsia" w:ascii="微软雅黑" w:hAnsi="微软雅黑" w:cs="微软雅黑"/>
          <w:lang w:val="en-US" w:eastAsia="zh-CN"/>
        </w:rPr>
        <w:t>可进行查询视图的定义和树形视图的设置，以供用户查询统计各类申请单</w:t>
      </w:r>
      <w:r>
        <w:rPr>
          <w:rFonts w:hint="eastAsia" w:ascii="微软雅黑" w:hAnsi="微软雅黑" w:eastAsia="微软雅黑" w:cs="微软雅黑"/>
          <w:lang w:val="en-US" w:eastAsia="zh-CN"/>
        </w:rPr>
        <w:t>。</w:t>
      </w:r>
    </w:p>
    <w:p>
      <w:pPr>
        <w:spacing w:before="93" w:after="93"/>
        <w:ind w:firstLine="420"/>
        <w:rPr>
          <w:rFonts w:hint="eastAsia" w:ascii="微软雅黑" w:hAnsi="微软雅黑" w:eastAsia="微软雅黑" w:cs="微软雅黑"/>
          <w:lang w:val="en-US" w:eastAsia="zh-CN"/>
        </w:rPr>
      </w:pPr>
      <w:r>
        <w:rPr>
          <w:rFonts w:hint="eastAsia" w:ascii="微软雅黑" w:hAnsi="微软雅黑" w:cs="微软雅黑"/>
          <w:lang w:val="en-US" w:eastAsia="zh-CN"/>
        </w:rPr>
        <w:t>消息提醒下，可开启</w:t>
      </w:r>
      <w:r>
        <w:rPr>
          <w:rFonts w:hint="eastAsia" w:ascii="微软雅黑" w:hAnsi="微软雅黑" w:eastAsia="微软雅黑" w:cs="微软雅黑"/>
          <w:lang w:val="en-US" w:eastAsia="zh-CN"/>
        </w:rPr>
        <w:t>关注</w:t>
      </w:r>
      <w:r>
        <w:rPr>
          <w:rFonts w:hint="eastAsia" w:ascii="微软雅黑" w:hAnsi="微软雅黑" w:cs="微软雅黑"/>
          <w:lang w:val="en-US" w:eastAsia="zh-CN"/>
        </w:rPr>
        <w:t>流程</w:t>
      </w:r>
      <w:r>
        <w:rPr>
          <w:rFonts w:hint="eastAsia" w:ascii="微软雅黑" w:hAnsi="微软雅黑" w:eastAsia="微软雅黑" w:cs="微软雅黑"/>
          <w:lang w:val="en-US" w:eastAsia="zh-CN"/>
        </w:rPr>
        <w:t>发送消息。</w:t>
      </w:r>
    </w:p>
    <w:p>
      <w:pPr>
        <w:spacing w:before="93" w:after="93"/>
        <w:ind w:firstLine="420"/>
        <w:rPr>
          <w:rFonts w:hint="default" w:eastAsia="微软雅黑"/>
          <w:szCs w:val="21"/>
          <w:lang w:val="en-US" w:eastAsia="zh-CN"/>
        </w:rPr>
      </w:pPr>
      <w:r>
        <w:rPr>
          <w:rFonts w:hint="eastAsia" w:ascii="微软雅黑" w:hAnsi="微软雅黑" w:eastAsia="微软雅黑" w:cs="微软雅黑"/>
          <w:lang w:val="en-US" w:eastAsia="zh-CN"/>
        </w:rPr>
        <w:t>数据字</w:t>
      </w:r>
      <w:r>
        <w:rPr>
          <w:rFonts w:hint="eastAsia" w:ascii="微软雅黑" w:hAnsi="微软雅黑" w:cs="微软雅黑"/>
          <w:lang w:val="en-US" w:eastAsia="zh-CN"/>
        </w:rPr>
        <w:t>典</w:t>
      </w:r>
      <w:r>
        <w:rPr>
          <w:rFonts w:hint="eastAsia" w:ascii="微软雅黑" w:hAnsi="微软雅黑" w:eastAsia="微软雅黑" w:cs="微软雅黑"/>
          <w:lang w:val="en-US" w:eastAsia="zh-CN"/>
        </w:rPr>
        <w:t>维护下，可进行类别</w:t>
      </w:r>
      <w:r>
        <w:rPr>
          <w:rFonts w:hint="eastAsia" w:ascii="微软雅黑" w:hAnsi="微软雅黑" w:cs="微软雅黑"/>
          <w:lang w:val="en-US" w:eastAsia="zh-CN"/>
        </w:rPr>
        <w:t>、可变类别字段</w:t>
      </w:r>
      <w:r>
        <w:rPr>
          <w:rFonts w:hint="eastAsia" w:ascii="微软雅黑" w:hAnsi="微软雅黑" w:eastAsia="微软雅黑" w:cs="微软雅黑"/>
          <w:lang w:val="en-US" w:eastAsia="zh-CN"/>
        </w:rPr>
        <w:t>设置。</w:t>
      </w:r>
    </w:p>
    <w:p>
      <w:pPr>
        <w:pStyle w:val="33"/>
        <w:numPr>
          <w:ilvl w:val="0"/>
          <w:numId w:val="0"/>
        </w:numPr>
        <w:jc w:val="center"/>
      </w:pPr>
      <w:r>
        <w:drawing>
          <wp:inline distT="0" distB="0" distL="114300" distR="114300">
            <wp:extent cx="6410325" cy="3196590"/>
            <wp:effectExtent l="9525" t="9525" r="19050" b="13335"/>
            <wp:docPr id="4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4"/>
                    <pic:cNvPicPr>
                      <a:picLocks noChangeAspect="1"/>
                    </pic:cNvPicPr>
                  </pic:nvPicPr>
                  <pic:blipFill>
                    <a:blip r:embed="rId33"/>
                    <a:stretch>
                      <a:fillRect/>
                    </a:stretch>
                  </pic:blipFill>
                  <pic:spPr>
                    <a:xfrm>
                      <a:off x="0" y="0"/>
                      <a:ext cx="6410325" cy="3196590"/>
                    </a:xfrm>
                    <a:prstGeom prst="rect">
                      <a:avLst/>
                    </a:prstGeom>
                    <a:noFill/>
                    <a:ln>
                      <a:solidFill>
                        <a:srgbClr val="EAEAEA"/>
                      </a:solidFill>
                    </a:ln>
                  </pic:spPr>
                </pic:pic>
              </a:graphicData>
            </a:graphic>
          </wp:inline>
        </w:drawing>
      </w:r>
    </w:p>
    <w:p>
      <w:pPr>
        <w:pStyle w:val="6"/>
        <w:numPr>
          <w:ilvl w:val="0"/>
          <w:numId w:val="0"/>
        </w:num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图表 </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STYLEREF 2 \s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4.2</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SEQ 图表 \* ARABIC \s 2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16</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审批设置</w:t>
      </w:r>
    </w:p>
    <w:p>
      <w:pPr>
        <w:spacing w:before="312"/>
        <w:ind w:left="425" w:leftChars="0" w:firstLineChars="0"/>
        <w:rPr>
          <w:b/>
          <w:bCs/>
        </w:rPr>
      </w:pPr>
      <w:r>
        <w:rPr>
          <w:rFonts w:hint="eastAsia"/>
          <w:b/>
          <w:bCs/>
        </w:rPr>
        <w:t>审批模板</w:t>
      </w:r>
      <w:bookmarkEnd w:id="15"/>
      <w:bookmarkEnd w:id="16"/>
      <w:bookmarkEnd w:id="17"/>
      <w:bookmarkEnd w:id="18"/>
    </w:p>
    <w:p>
      <w:pPr>
        <w:pStyle w:val="33"/>
        <w:numPr>
          <w:ilvl w:val="0"/>
          <w:numId w:val="0"/>
        </w:numPr>
        <w:ind w:firstLine="420" w:firstLineChars="200"/>
      </w:pPr>
      <w:r>
        <w:rPr>
          <w:rFonts w:hint="eastAsia"/>
        </w:rPr>
        <w:t>模板就是附带流程的具有标准格式的管理表单，如报销单、请假单、请款单等，它一般由管理员设置好，普通用户直接调用即可</w:t>
      </w:r>
      <w:r>
        <w:rPr>
          <w:rFonts w:hint="eastAsia"/>
          <w:lang w:eastAsia="zh-CN"/>
        </w:rPr>
        <w:t>。</w:t>
      </w:r>
      <w:r>
        <w:rPr>
          <w:rFonts w:hint="eastAsia"/>
          <w:lang w:val="en-US" w:eastAsia="zh-CN"/>
        </w:rPr>
        <w:t>并且系统内置模板库，</w:t>
      </w:r>
      <w:r>
        <w:rPr>
          <w:rFonts w:hint="eastAsia" w:ascii="Microsoft YaHei UI" w:hAnsi="Microsoft YaHei UI" w:eastAsia="Microsoft YaHei UI"/>
          <w:sz w:val="20"/>
          <w:szCs w:val="24"/>
        </w:rPr>
        <w:t>支持20+行业预置流程模板</w:t>
      </w:r>
      <w:r>
        <w:rPr>
          <w:rFonts w:hint="eastAsia" w:ascii="Microsoft YaHei UI" w:hAnsi="Microsoft YaHei UI" w:eastAsia="Microsoft YaHei UI"/>
          <w:sz w:val="20"/>
          <w:szCs w:val="24"/>
          <w:lang w:eastAsia="zh-CN"/>
        </w:rPr>
        <w:t>，</w:t>
      </w:r>
      <w:r>
        <w:rPr>
          <w:rFonts w:hint="eastAsia" w:ascii="Microsoft YaHei UI" w:hAnsi="Microsoft YaHei UI" w:eastAsia="Microsoft YaHei UI"/>
          <w:sz w:val="20"/>
          <w:szCs w:val="24"/>
          <w:lang w:val="en-US" w:eastAsia="zh-CN"/>
        </w:rPr>
        <w:t>亦支持将现用模板另存至模板库中。</w:t>
      </w:r>
      <w:r>
        <w:rPr>
          <w:rFonts w:hint="eastAsia"/>
        </w:rPr>
        <w:t>华天动力流程模板中的表单可以设置表单内任何区域和字段的读、写权限，使用更安全；建立表单时，可以自动生成一对一，一对多的明细表，并实现对不同明细表的统计汇总。</w:t>
      </w:r>
    </w:p>
    <w:p>
      <w:pPr>
        <w:pStyle w:val="33"/>
        <w:numPr>
          <w:ilvl w:val="0"/>
          <w:numId w:val="0"/>
        </w:numPr>
        <w:ind w:firstLine="420" w:firstLineChars="200"/>
        <w:rPr>
          <w:rFonts w:hint="eastAsia"/>
        </w:rPr>
      </w:pPr>
      <w:r>
        <w:rPr>
          <w:rFonts w:hint="eastAsia"/>
        </w:rPr>
        <w:t>华天动力</w:t>
      </w:r>
      <w:r>
        <w:rPr>
          <w:rFonts w:hint="eastAsia"/>
          <w:lang w:val="en-US" w:eastAsia="zh-CN"/>
        </w:rPr>
        <w:t>协同</w:t>
      </w:r>
      <w:r>
        <w:rPr>
          <w:rFonts w:hint="eastAsia"/>
        </w:rPr>
        <w:t>OA系统的工作流模板分为三种：文档型、</w:t>
      </w:r>
      <w:r>
        <w:rPr>
          <w:rFonts w:hint="eastAsia"/>
          <w:lang w:val="en-US" w:eastAsia="zh-CN"/>
        </w:rPr>
        <w:t>电子</w:t>
      </w:r>
      <w:r>
        <w:rPr>
          <w:rFonts w:hint="eastAsia"/>
        </w:rPr>
        <w:t>表单型、签批单型</w:t>
      </w:r>
      <w:r>
        <w:rPr>
          <w:rFonts w:hint="eastAsia"/>
          <w:lang w:eastAsia="zh-CN"/>
        </w:rPr>
        <w:t>（</w:t>
      </w:r>
      <w:r>
        <w:rPr>
          <w:rFonts w:hint="eastAsia"/>
          <w:lang w:val="en-US" w:eastAsia="zh-CN"/>
        </w:rPr>
        <w:t>电子表单</w:t>
      </w:r>
      <w:r>
        <w:rPr>
          <w:rFonts w:hint="eastAsia"/>
        </w:rPr>
        <w:t>型</w:t>
      </w:r>
      <w:r>
        <w:rPr>
          <w:rFonts w:hint="eastAsia"/>
          <w:lang w:val="en-US" w:eastAsia="zh-CN"/>
        </w:rPr>
        <w:t>和文档</w:t>
      </w:r>
      <w:r>
        <w:rPr>
          <w:rFonts w:hint="eastAsia"/>
        </w:rPr>
        <w:t>型</w:t>
      </w:r>
      <w:r>
        <w:rPr>
          <w:rFonts w:hint="eastAsia"/>
          <w:lang w:val="en-US" w:eastAsia="zh-CN"/>
        </w:rPr>
        <w:t>结合</w:t>
      </w:r>
      <w:r>
        <w:rPr>
          <w:rFonts w:hint="eastAsia"/>
          <w:lang w:eastAsia="zh-CN"/>
        </w:rPr>
        <w:t>）</w:t>
      </w:r>
      <w:r>
        <w:rPr>
          <w:rFonts w:hint="eastAsia"/>
        </w:rPr>
        <w:t>，</w:t>
      </w:r>
      <w:r>
        <w:rPr>
          <w:rFonts w:hint="eastAsia"/>
          <w:lang w:val="en-US" w:eastAsia="zh-CN"/>
        </w:rPr>
        <w:t>其中文档形</w:t>
      </w:r>
      <w:r>
        <w:rPr>
          <w:rFonts w:hint="eastAsia"/>
        </w:rPr>
        <w:t>包括Word、Excel、WPS等格式</w:t>
      </w:r>
      <w:r>
        <w:rPr>
          <w:rFonts w:hint="eastAsia"/>
          <w:lang w:eastAsia="zh-CN"/>
        </w:rPr>
        <w:t>，</w:t>
      </w:r>
      <w:r>
        <w:rPr>
          <w:rFonts w:hint="eastAsia"/>
          <w:lang w:val="en-US" w:eastAsia="zh-CN"/>
        </w:rPr>
        <w:t>电子表单形为</w:t>
      </w:r>
      <w:r>
        <w:rPr>
          <w:rFonts w:hint="eastAsia"/>
        </w:rPr>
        <w:t>HTML</w:t>
      </w:r>
      <w:r>
        <w:rPr>
          <w:rFonts w:hint="eastAsia"/>
          <w:lang w:val="en-US" w:eastAsia="zh-CN"/>
        </w:rPr>
        <w:t>格式</w:t>
      </w:r>
      <w:r>
        <w:rPr>
          <w:rFonts w:hint="eastAsia"/>
        </w:rPr>
        <w:t>。</w:t>
      </w:r>
    </w:p>
    <w:p>
      <w:pPr>
        <w:pStyle w:val="33"/>
        <w:ind w:leftChars="200" w:firstLine="420"/>
        <w:rPr>
          <w:szCs w:val="21"/>
        </w:rPr>
      </w:pPr>
      <w:r>
        <w:rPr>
          <w:rFonts w:hint="eastAsia"/>
          <w:szCs w:val="21"/>
        </w:rPr>
        <w:t>文档型。即WORD、EXCEL、WPS模板。文档型模板适用于基于文档的，以文字内容为主的，且审批内容是文件，如合同、发文等，一般不需要对文档内容进行统计、查询。文档型模板设计简单，并可以设置文件套红、痕迹保留、电子签名、加盖电子印章等。</w:t>
      </w:r>
    </w:p>
    <w:p>
      <w:pPr>
        <w:pStyle w:val="33"/>
        <w:ind w:leftChars="200" w:firstLine="420"/>
        <w:rPr>
          <w:szCs w:val="21"/>
        </w:rPr>
      </w:pPr>
      <w:r>
        <w:rPr>
          <w:rFonts w:hint="eastAsia"/>
          <w:szCs w:val="21"/>
        </w:rPr>
        <w:t>表单型。即HTML模板，也称电子表单，该种类型的模板是基于HTML表单，类似于一个应用系统，可以有N多个输入域，与实体的数据表相结合，可以方便地对每个域进行数据查询和统计汇总。适用于需要对审批单的数据进行统计查询的文件。</w:t>
      </w:r>
    </w:p>
    <w:p>
      <w:pPr>
        <w:pStyle w:val="33"/>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pPr>
      <w:r>
        <w:drawing>
          <wp:inline distT="0" distB="0" distL="114300" distR="114300">
            <wp:extent cx="6412230" cy="2677795"/>
            <wp:effectExtent l="9525" t="9525" r="17145" b="17780"/>
            <wp:docPr id="3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2"/>
                    <pic:cNvPicPr>
                      <a:picLocks noChangeAspect="1"/>
                    </pic:cNvPicPr>
                  </pic:nvPicPr>
                  <pic:blipFill>
                    <a:blip r:embed="rId34"/>
                    <a:stretch>
                      <a:fillRect/>
                    </a:stretch>
                  </pic:blipFill>
                  <pic:spPr>
                    <a:xfrm>
                      <a:off x="0" y="0"/>
                      <a:ext cx="6412230" cy="2677795"/>
                    </a:xfrm>
                    <a:prstGeom prst="rect">
                      <a:avLst/>
                    </a:prstGeom>
                    <a:noFill/>
                    <a:ln>
                      <a:solidFill>
                        <a:srgbClr val="EAEAEA"/>
                      </a:solidFill>
                    </a:ln>
                  </pic:spPr>
                </pic:pic>
              </a:graphicData>
            </a:graphic>
          </wp:inline>
        </w:drawing>
      </w:r>
    </w:p>
    <w:p>
      <w:pPr>
        <w:pStyle w:val="6"/>
        <w:numPr>
          <w:ilvl w:val="0"/>
          <w:numId w:val="0"/>
        </w:numPr>
        <w:ind w:left="420"/>
        <w:jc w:val="center"/>
        <w:rPr>
          <w:rFonts w:hint="eastAsia" w:asciiTheme="minorEastAsia" w:hAnsiTheme="minorEastAsia" w:eastAsiaTheme="minorEastAsia"/>
          <w:sz w:val="21"/>
          <w:szCs w:val="21"/>
          <w:lang w:val="en-US" w:eastAsia="zh-CN"/>
        </w:rPr>
      </w:pPr>
      <w:r>
        <w:rPr>
          <w:rFonts w:hint="eastAsia" w:asciiTheme="minorEastAsia" w:hAnsiTheme="minorEastAsia" w:eastAsiaTheme="minorEastAsia"/>
          <w:sz w:val="21"/>
          <w:szCs w:val="21"/>
        </w:rPr>
        <w:t xml:space="preserve">图表 </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STYLEREF 2 \s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4.2</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SEQ 图表 \* ARABIC \s 2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17</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表单填写界面</w:t>
      </w:r>
    </w:p>
    <w:p>
      <w:pPr>
        <w:pStyle w:val="33"/>
        <w:ind w:leftChars="200" w:firstLine="420"/>
        <w:rPr>
          <w:szCs w:val="21"/>
        </w:rPr>
      </w:pPr>
      <w:r>
        <w:rPr>
          <w:rFonts w:hint="eastAsia"/>
          <w:szCs w:val="21"/>
        </w:rPr>
        <w:t>签批单。签批单可有效实现</w:t>
      </w:r>
      <w:r>
        <w:rPr>
          <w:szCs w:val="21"/>
        </w:rPr>
        <w:t>HTML</w:t>
      </w:r>
      <w:r>
        <w:rPr>
          <w:rFonts w:hint="eastAsia"/>
          <w:szCs w:val="21"/>
        </w:rPr>
        <w:t>表单和</w:t>
      </w:r>
      <w:r>
        <w:rPr>
          <w:szCs w:val="21"/>
        </w:rPr>
        <w:t>OFFICE</w:t>
      </w:r>
      <w:r>
        <w:rPr>
          <w:rFonts w:hint="eastAsia"/>
          <w:szCs w:val="21"/>
        </w:rPr>
        <w:t>文档的结合。正文是Word或</w:t>
      </w:r>
      <w:r>
        <w:rPr>
          <w:szCs w:val="21"/>
        </w:rPr>
        <w:t>E</w:t>
      </w:r>
      <w:r>
        <w:rPr>
          <w:rFonts w:hint="eastAsia"/>
          <w:szCs w:val="21"/>
        </w:rPr>
        <w:t>xcel的文档，而审批单本身是以</w:t>
      </w:r>
      <w:r>
        <w:rPr>
          <w:szCs w:val="21"/>
        </w:rPr>
        <w:t>HTML</w:t>
      </w:r>
      <w:r>
        <w:rPr>
          <w:rFonts w:hint="eastAsia"/>
          <w:szCs w:val="21"/>
        </w:rPr>
        <w:t>表单格式进行审批的单据。</w:t>
      </w:r>
    </w:p>
    <w:p>
      <w:pPr>
        <w:pStyle w:val="33"/>
        <w:keepNext w:val="0"/>
        <w:keepLines w:val="0"/>
        <w:pageBreakBefore w:val="0"/>
        <w:widowControl w:val="0"/>
        <w:numPr>
          <w:ilvl w:val="0"/>
          <w:numId w:val="0"/>
        </w:numPr>
        <w:kinsoku/>
        <w:wordWrap/>
        <w:overflowPunct/>
        <w:topLinePunct w:val="0"/>
        <w:autoSpaceDE/>
        <w:autoSpaceDN/>
        <w:bidi w:val="0"/>
        <w:adjustRightInd w:val="0"/>
        <w:snapToGrid w:val="0"/>
        <w:ind w:firstLine="0"/>
        <w:jc w:val="center"/>
        <w:textAlignment w:val="auto"/>
      </w:pPr>
      <w:r>
        <w:drawing>
          <wp:inline distT="0" distB="0" distL="114300" distR="114300">
            <wp:extent cx="6412230" cy="3028950"/>
            <wp:effectExtent l="9525" t="9525" r="17145" b="9525"/>
            <wp:docPr id="3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4"/>
                    <pic:cNvPicPr>
                      <a:picLocks noChangeAspect="1"/>
                    </pic:cNvPicPr>
                  </pic:nvPicPr>
                  <pic:blipFill>
                    <a:blip r:embed="rId35"/>
                    <a:stretch>
                      <a:fillRect/>
                    </a:stretch>
                  </pic:blipFill>
                  <pic:spPr>
                    <a:xfrm>
                      <a:off x="0" y="0"/>
                      <a:ext cx="6412230" cy="3028950"/>
                    </a:xfrm>
                    <a:prstGeom prst="rect">
                      <a:avLst/>
                    </a:prstGeom>
                    <a:noFill/>
                    <a:ln>
                      <a:solidFill>
                        <a:srgbClr val="EAEAEA"/>
                      </a:solidFill>
                    </a:ln>
                  </pic:spPr>
                </pic:pic>
              </a:graphicData>
            </a:graphic>
          </wp:inline>
        </w:drawing>
      </w:r>
    </w:p>
    <w:p>
      <w:pPr>
        <w:pStyle w:val="6"/>
        <w:numPr>
          <w:ilvl w:val="0"/>
          <w:numId w:val="0"/>
        </w:numPr>
        <w:ind w:firstLine="420"/>
        <w:jc w:val="center"/>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rPr>
        <w:t xml:space="preserve">图表 </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STYLEREF 2 \s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4.2</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SEQ 图表 \* ARABIC \s 2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18</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签批单界面</w:t>
      </w:r>
    </w:p>
    <w:p>
      <w:pPr>
        <w:spacing w:before="312"/>
        <w:rPr>
          <w:b/>
          <w:bCs/>
        </w:rPr>
      </w:pPr>
      <w:bookmarkStart w:id="42" w:name="_Toc422497945"/>
      <w:bookmarkStart w:id="43" w:name="_Toc354489764"/>
      <w:bookmarkStart w:id="44" w:name="_Toc422499526"/>
      <w:bookmarkStart w:id="45" w:name="_Toc381788582"/>
      <w:r>
        <w:rPr>
          <w:rFonts w:hint="eastAsia"/>
          <w:b/>
          <w:bCs/>
        </w:rPr>
        <w:t>流程设置</w:t>
      </w:r>
      <w:bookmarkEnd w:id="42"/>
      <w:bookmarkEnd w:id="43"/>
      <w:bookmarkEnd w:id="44"/>
      <w:bookmarkEnd w:id="45"/>
    </w:p>
    <w:p>
      <w:pPr>
        <w:pStyle w:val="33"/>
        <w:numPr>
          <w:ilvl w:val="0"/>
          <w:numId w:val="0"/>
        </w:numPr>
        <w:ind w:firstLine="420" w:firstLineChars="200"/>
        <w:rPr>
          <w:rFonts w:hint="eastAsia"/>
          <w:szCs w:val="21"/>
        </w:rPr>
      </w:pPr>
      <w:r>
        <w:rPr>
          <w:rFonts w:hint="eastAsia"/>
          <w:szCs w:val="21"/>
        </w:rPr>
        <w:t>华天动力协同OA系统的流程设置是图形化的，这种图形化流程设计的好处是非常直观和简单，逻辑关系清楚，每个步骤的审批人、审批动作、审批顺序、跳转路径都一目了然。</w:t>
      </w:r>
    </w:p>
    <w:p>
      <w:pP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val="en-US" w:eastAsia="zh-CN"/>
        </w:rPr>
        <w:t>系统</w:t>
      </w:r>
      <w:r>
        <w:rPr>
          <w:rFonts w:hint="eastAsia" w:asciiTheme="minorEastAsia" w:hAnsiTheme="minorEastAsia" w:eastAsiaTheme="minorEastAsia" w:cstheme="minorEastAsia"/>
          <w:lang w:eastAsia="zh-CN"/>
        </w:rPr>
        <w:t>支持十大流程，包括固定流程、分支流程、并发流程、半自由流程、直到流程、秘书节点、自由流程、自由顺序流程、无流程和承办流程。</w:t>
      </w:r>
    </w:p>
    <w:p>
      <w:pPr>
        <w:pStyle w:val="33"/>
        <w:numPr>
          <w:ilvl w:val="0"/>
          <w:numId w:val="0"/>
        </w:numPr>
        <w:ind w:firstLine="420" w:firstLineChars="200"/>
        <w:rPr>
          <w:rFonts w:hint="eastAsia" w:eastAsia="微软雅黑"/>
          <w:szCs w:val="21"/>
          <w:lang w:val="en-US" w:eastAsia="zh-CN"/>
        </w:rPr>
      </w:pPr>
      <w:r>
        <w:rPr>
          <w:rFonts w:hint="eastAsia"/>
          <w:szCs w:val="21"/>
          <w:lang w:val="en-US" w:eastAsia="zh-CN"/>
        </w:rPr>
        <w:t>审批节点设置时，可设置节点基本信息、审批人员、多人评审方式、提醒方式等内容，配置简单，界面清晰，便于管理员对节点的快速配置，节点设置完成后，可对节点的读写属性进行设置，不同的审批人员可具有不同的读写权限，可按照实际需要进行灵活配置。</w:t>
      </w:r>
      <w:r>
        <w:rPr>
          <w:rFonts w:hint="eastAsia"/>
          <w:szCs w:val="21"/>
        </w:rPr>
        <w:t>华天动力OA系统的流程设置简单明了，操作性强，容易上手</w:t>
      </w:r>
      <w:r>
        <w:rPr>
          <w:rFonts w:hint="eastAsia"/>
          <w:szCs w:val="21"/>
          <w:lang w:eastAsia="zh-CN"/>
        </w:rPr>
        <w:t>。</w:t>
      </w:r>
    </w:p>
    <w:p>
      <w:pPr>
        <w:pStyle w:val="33"/>
        <w:numPr>
          <w:ilvl w:val="0"/>
          <w:numId w:val="0"/>
        </w:numPr>
        <w:jc w:val="center"/>
      </w:pPr>
      <w:r>
        <w:drawing>
          <wp:inline distT="0" distB="0" distL="114300" distR="114300">
            <wp:extent cx="6419215" cy="4758690"/>
            <wp:effectExtent l="9525" t="9525" r="10160" b="13335"/>
            <wp:docPr id="3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5"/>
                    <pic:cNvPicPr>
                      <a:picLocks noChangeAspect="1"/>
                    </pic:cNvPicPr>
                  </pic:nvPicPr>
                  <pic:blipFill>
                    <a:blip r:embed="rId36"/>
                    <a:stretch>
                      <a:fillRect/>
                    </a:stretch>
                  </pic:blipFill>
                  <pic:spPr>
                    <a:xfrm>
                      <a:off x="0" y="0"/>
                      <a:ext cx="6419215" cy="4758690"/>
                    </a:xfrm>
                    <a:prstGeom prst="rect">
                      <a:avLst/>
                    </a:prstGeom>
                    <a:noFill/>
                    <a:ln>
                      <a:solidFill>
                        <a:srgbClr val="EAEAEA"/>
                      </a:solidFill>
                    </a:ln>
                  </pic:spPr>
                </pic:pic>
              </a:graphicData>
            </a:graphic>
          </wp:inline>
        </w:drawing>
      </w:r>
    </w:p>
    <w:p>
      <w:pPr>
        <w:pStyle w:val="33"/>
        <w:numPr>
          <w:ilvl w:val="0"/>
          <w:numId w:val="0"/>
        </w:numPr>
        <w:rPr>
          <w:rFonts w:hint="eastAsia" w:eastAsia="微软雅黑"/>
          <w:lang w:eastAsia="zh-CN"/>
        </w:rPr>
      </w:pPr>
    </w:p>
    <w:p>
      <w:pPr>
        <w:pStyle w:val="6"/>
        <w:numPr>
          <w:ilvl w:val="0"/>
          <w:numId w:val="0"/>
        </w:numPr>
        <w:jc w:val="center"/>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rPr>
        <w:t xml:space="preserve">图表 </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STYLEREF 2 \s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4.2</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SEQ 图表 \* ARABIC \s 2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19</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节点设置</w:t>
      </w:r>
    </w:p>
    <w:p>
      <w:pPr>
        <w:pStyle w:val="9"/>
        <w:keepNext w:val="0"/>
        <w:keepLines w:val="0"/>
        <w:pageBreakBefore w:val="0"/>
        <w:widowControl w:val="0"/>
        <w:kinsoku/>
        <w:wordWrap/>
        <w:overflowPunct/>
        <w:topLinePunct w:val="0"/>
        <w:autoSpaceDE/>
        <w:autoSpaceDN/>
        <w:bidi w:val="0"/>
        <w:adjustRightInd w:val="0"/>
        <w:snapToGrid w:val="0"/>
        <w:spacing w:before="93" w:after="93"/>
        <w:ind w:left="0" w:leftChars="0" w:firstLine="0" w:firstLineChars="0"/>
        <w:jc w:val="center"/>
        <w:textAlignment w:val="auto"/>
      </w:pPr>
      <w:r>
        <w:drawing>
          <wp:inline distT="0" distB="0" distL="114300" distR="114300">
            <wp:extent cx="6419215" cy="4764405"/>
            <wp:effectExtent l="9525" t="9525" r="10160" b="266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7"/>
                    <a:stretch>
                      <a:fillRect/>
                    </a:stretch>
                  </pic:blipFill>
                  <pic:spPr>
                    <a:xfrm>
                      <a:off x="0" y="0"/>
                      <a:ext cx="6419215" cy="4764405"/>
                    </a:xfrm>
                    <a:prstGeom prst="rect">
                      <a:avLst/>
                    </a:prstGeom>
                    <a:noFill/>
                    <a:ln>
                      <a:solidFill>
                        <a:srgbClr val="EAEAEA"/>
                      </a:solidFill>
                    </a:ln>
                  </pic:spPr>
                </pic:pic>
              </a:graphicData>
            </a:graphic>
          </wp:inline>
        </w:drawing>
      </w:r>
    </w:p>
    <w:p>
      <w:pPr>
        <w:pStyle w:val="6"/>
        <w:spacing w:before="93" w:after="93"/>
        <w:ind w:left="0" w:leftChars="0" w:firstLine="0" w:firstLineChars="0"/>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 xml:space="preserve">图表 </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STYLEREF 2 \s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4.2</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SEQ 图表 \* ARABIC \s 2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20</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读写属性</w:t>
      </w:r>
    </w:p>
    <w:p>
      <w:pPr>
        <w:rPr>
          <w:rFonts w:hint="eastAsia" w:eastAsiaTheme="minorEastAsia"/>
          <w:b/>
          <w:bCs/>
          <w:lang w:val="en-US" w:eastAsia="zh-CN"/>
        </w:rPr>
      </w:pPr>
      <w:r>
        <w:rPr>
          <w:rFonts w:hint="eastAsia" w:eastAsiaTheme="minorEastAsia"/>
          <w:b/>
          <w:bCs/>
          <w:lang w:val="en-US" w:eastAsia="zh-CN"/>
        </w:rPr>
        <w:t>模板库</w:t>
      </w:r>
    </w:p>
    <w:p>
      <w:pPr>
        <w:rPr>
          <w:rFonts w:hint="default"/>
          <w:szCs w:val="21"/>
          <w:lang w:val="en-US" w:eastAsia="zh-CN"/>
        </w:rPr>
      </w:pPr>
      <w:r>
        <w:rPr>
          <w:rFonts w:hint="eastAsia"/>
          <w:szCs w:val="21"/>
        </w:rPr>
        <w:t>华天动力协同OA系统</w:t>
      </w:r>
      <w:r>
        <w:rPr>
          <w:rFonts w:hint="eastAsia" w:ascii="Microsoft YaHei UI" w:hAnsi="Microsoft YaHei UI" w:eastAsia="Microsoft YaHei UI"/>
          <w:sz w:val="20"/>
          <w:szCs w:val="24"/>
        </w:rPr>
        <w:t>支持20+行业预置流程模板</w:t>
      </w:r>
      <w:r>
        <w:rPr>
          <w:rFonts w:hint="eastAsia"/>
          <w:szCs w:val="21"/>
          <w:lang w:eastAsia="zh-CN"/>
        </w:rPr>
        <w:t>，</w:t>
      </w:r>
      <w:r>
        <w:rPr>
          <w:rFonts w:hint="eastAsia"/>
          <w:szCs w:val="21"/>
        </w:rPr>
        <w:t>涵盖众多领域，可快速适配多种业务场景。同时，系统还具备灵活的自定义功能，管理员可将正在使用的模板另存至模板库。这样，企业就能根据自身业务发展和变化，随时调用这些模板进行修改和设置，打造出完全符合公司业务需求的独特模板，实现流程管理的个性化与高效性。</w:t>
      </w:r>
    </w:p>
    <w:p>
      <w:pPr>
        <w:pStyle w:val="5"/>
        <w:spacing w:before="312"/>
        <w:ind w:left="425" w:leftChars="0" w:firstLineChars="0"/>
      </w:pPr>
      <w:bookmarkStart w:id="46" w:name="_Toc422497954"/>
      <w:bookmarkStart w:id="47" w:name="_Toc422499535"/>
      <w:bookmarkStart w:id="48" w:name="_Toc381788591"/>
      <w:bookmarkStart w:id="49" w:name="_Toc29104"/>
      <w:r>
        <w:rPr>
          <w:rFonts w:hint="eastAsia"/>
        </w:rPr>
        <w:t>审批</w:t>
      </w:r>
      <w:bookmarkEnd w:id="46"/>
      <w:bookmarkEnd w:id="47"/>
      <w:bookmarkEnd w:id="48"/>
      <w:r>
        <w:rPr>
          <w:rFonts w:hint="eastAsia"/>
          <w:lang w:val="en-US" w:eastAsia="zh-CN"/>
        </w:rPr>
        <w:t>报表</w:t>
      </w:r>
      <w:bookmarkEnd w:id="49"/>
    </w:p>
    <w:p>
      <w:pPr>
        <w:pStyle w:val="33"/>
        <w:numPr>
          <w:ilvl w:val="0"/>
          <w:numId w:val="0"/>
        </w:numPr>
        <w:ind w:firstLine="420" w:firstLineChars="200"/>
        <w:rPr>
          <w:rFonts w:hint="eastAsia"/>
          <w:szCs w:val="21"/>
          <w:lang w:val="en-US" w:eastAsia="zh-CN"/>
        </w:rPr>
      </w:pPr>
      <w:r>
        <w:rPr>
          <w:rFonts w:hint="eastAsia"/>
          <w:szCs w:val="21"/>
          <w:lang w:val="en-US" w:eastAsia="zh-CN"/>
        </w:rPr>
        <w:t>系统支持从审批效率、审批耗时、审批超时等各个维度来进行审批过程的分析，可按照模板类型、模板名称、日期等来进行查询统计。也可在审批数据查询模块中进行自定义业务所需要的相关视图报表。</w:t>
      </w:r>
    </w:p>
    <w:p>
      <w:pPr>
        <w:pStyle w:val="33"/>
        <w:numPr>
          <w:ilvl w:val="0"/>
          <w:numId w:val="0"/>
        </w:numPr>
        <w:jc w:val="center"/>
        <w:rPr>
          <w:rFonts w:hint="default"/>
          <w:szCs w:val="21"/>
          <w:lang w:val="en-US" w:eastAsia="zh-CN"/>
        </w:rPr>
      </w:pPr>
      <w:r>
        <w:drawing>
          <wp:inline distT="0" distB="0" distL="114300" distR="114300">
            <wp:extent cx="6410325" cy="3194050"/>
            <wp:effectExtent l="9525" t="9525" r="19050" b="15875"/>
            <wp:docPr id="4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5"/>
                    <pic:cNvPicPr>
                      <a:picLocks noChangeAspect="1"/>
                    </pic:cNvPicPr>
                  </pic:nvPicPr>
                  <pic:blipFill>
                    <a:blip r:embed="rId38"/>
                    <a:stretch>
                      <a:fillRect/>
                    </a:stretch>
                  </pic:blipFill>
                  <pic:spPr>
                    <a:xfrm>
                      <a:off x="0" y="0"/>
                      <a:ext cx="6410325" cy="3194050"/>
                    </a:xfrm>
                    <a:prstGeom prst="rect">
                      <a:avLst/>
                    </a:prstGeom>
                    <a:noFill/>
                    <a:ln>
                      <a:solidFill>
                        <a:srgbClr val="EAEAEA"/>
                      </a:solid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before="93" w:after="93"/>
        <w:ind w:firstLine="0" w:firstLineChars="0"/>
        <w:jc w:val="center"/>
        <w:textAlignment w:val="auto"/>
        <w:rPr>
          <w:rFonts w:hint="eastAsia" w:asciiTheme="minorEastAsia" w:hAnsiTheme="minorEastAsia" w:eastAsiaTheme="minorEastAsia" w:cstheme="majorBidi"/>
          <w:bCs w:val="0"/>
          <w:kern w:val="2"/>
          <w:sz w:val="21"/>
          <w:szCs w:val="21"/>
          <w:lang w:val="en-US" w:eastAsia="zh-CN" w:bidi="ar-SA"/>
        </w:rPr>
      </w:pPr>
      <w:r>
        <w:rPr>
          <w:rFonts w:hint="eastAsia" w:asciiTheme="minorEastAsia" w:hAnsiTheme="minorEastAsia" w:eastAsiaTheme="minorEastAsia" w:cstheme="majorBidi"/>
          <w:bCs w:val="0"/>
          <w:kern w:val="2"/>
          <w:sz w:val="21"/>
          <w:szCs w:val="21"/>
          <w:lang w:val="en-US" w:eastAsia="zh-CN" w:bidi="ar-SA"/>
        </w:rPr>
        <w:t xml:space="preserve">图表 </w:t>
      </w:r>
      <w:r>
        <w:rPr>
          <w:rFonts w:hint="eastAsia" w:asciiTheme="minorEastAsia" w:hAnsiTheme="minorEastAsia" w:eastAsiaTheme="minorEastAsia" w:cstheme="majorBidi"/>
          <w:bCs w:val="0"/>
          <w:kern w:val="2"/>
          <w:sz w:val="21"/>
          <w:szCs w:val="21"/>
          <w:lang w:val="en-US" w:eastAsia="zh-CN" w:bidi="ar-SA"/>
        </w:rPr>
        <w:fldChar w:fldCharType="begin"/>
      </w:r>
      <w:r>
        <w:rPr>
          <w:rFonts w:hint="eastAsia" w:asciiTheme="minorEastAsia" w:hAnsiTheme="minorEastAsia" w:eastAsiaTheme="minorEastAsia" w:cstheme="majorBidi"/>
          <w:bCs w:val="0"/>
          <w:kern w:val="2"/>
          <w:sz w:val="21"/>
          <w:szCs w:val="21"/>
          <w:lang w:val="en-US" w:eastAsia="zh-CN" w:bidi="ar-SA"/>
        </w:rPr>
        <w:instrText xml:space="preserve"> STYLEREF 2 \s </w:instrText>
      </w:r>
      <w:r>
        <w:rPr>
          <w:rFonts w:hint="eastAsia" w:asciiTheme="minorEastAsia" w:hAnsiTheme="minorEastAsia" w:eastAsiaTheme="minorEastAsia" w:cstheme="majorBidi"/>
          <w:bCs w:val="0"/>
          <w:kern w:val="2"/>
          <w:sz w:val="21"/>
          <w:szCs w:val="21"/>
          <w:lang w:val="en-US" w:eastAsia="zh-CN" w:bidi="ar-SA"/>
        </w:rPr>
        <w:fldChar w:fldCharType="separate"/>
      </w:r>
      <w:r>
        <w:rPr>
          <w:rFonts w:hint="eastAsia" w:asciiTheme="minorEastAsia" w:hAnsiTheme="minorEastAsia" w:eastAsiaTheme="minorEastAsia" w:cstheme="majorBidi"/>
          <w:bCs w:val="0"/>
          <w:kern w:val="2"/>
          <w:sz w:val="21"/>
          <w:szCs w:val="21"/>
          <w:lang w:val="en-US" w:eastAsia="zh-CN" w:bidi="ar-SA"/>
        </w:rPr>
        <w:t>4.2</w:t>
      </w:r>
      <w:r>
        <w:rPr>
          <w:rFonts w:hint="eastAsia" w:asciiTheme="minorEastAsia" w:hAnsiTheme="minorEastAsia" w:eastAsiaTheme="minorEastAsia" w:cstheme="majorBidi"/>
          <w:bCs w:val="0"/>
          <w:kern w:val="2"/>
          <w:sz w:val="21"/>
          <w:szCs w:val="21"/>
          <w:lang w:val="en-US" w:eastAsia="zh-CN" w:bidi="ar-SA"/>
        </w:rPr>
        <w:fldChar w:fldCharType="end"/>
      </w:r>
      <w:r>
        <w:rPr>
          <w:rFonts w:hint="eastAsia" w:asciiTheme="minorEastAsia" w:hAnsiTheme="minorEastAsia" w:eastAsiaTheme="minorEastAsia" w:cstheme="majorBidi"/>
          <w:bCs w:val="0"/>
          <w:kern w:val="2"/>
          <w:sz w:val="21"/>
          <w:szCs w:val="21"/>
          <w:lang w:val="en-US" w:eastAsia="zh-CN" w:bidi="ar-SA"/>
        </w:rPr>
        <w:t>-</w:t>
      </w:r>
      <w:r>
        <w:rPr>
          <w:rFonts w:hint="eastAsia" w:asciiTheme="minorEastAsia" w:hAnsiTheme="minorEastAsia" w:eastAsiaTheme="minorEastAsia" w:cstheme="majorBidi"/>
          <w:bCs w:val="0"/>
          <w:kern w:val="2"/>
          <w:sz w:val="21"/>
          <w:szCs w:val="21"/>
          <w:lang w:val="en-US" w:eastAsia="zh-CN" w:bidi="ar-SA"/>
        </w:rPr>
        <w:fldChar w:fldCharType="begin"/>
      </w:r>
      <w:r>
        <w:rPr>
          <w:rFonts w:hint="eastAsia" w:asciiTheme="minorEastAsia" w:hAnsiTheme="minorEastAsia" w:eastAsiaTheme="minorEastAsia" w:cstheme="majorBidi"/>
          <w:bCs w:val="0"/>
          <w:kern w:val="2"/>
          <w:sz w:val="21"/>
          <w:szCs w:val="21"/>
          <w:lang w:val="en-US" w:eastAsia="zh-CN" w:bidi="ar-SA"/>
        </w:rPr>
        <w:instrText xml:space="preserve"> SEQ 图表 \* ARABIC \s 2 </w:instrText>
      </w:r>
      <w:r>
        <w:rPr>
          <w:rFonts w:hint="eastAsia" w:asciiTheme="minorEastAsia" w:hAnsiTheme="minorEastAsia" w:eastAsiaTheme="minorEastAsia" w:cstheme="majorBidi"/>
          <w:bCs w:val="0"/>
          <w:kern w:val="2"/>
          <w:sz w:val="21"/>
          <w:szCs w:val="21"/>
          <w:lang w:val="en-US" w:eastAsia="zh-CN" w:bidi="ar-SA"/>
        </w:rPr>
        <w:fldChar w:fldCharType="separate"/>
      </w:r>
      <w:r>
        <w:rPr>
          <w:rFonts w:hint="eastAsia" w:asciiTheme="minorEastAsia" w:hAnsiTheme="minorEastAsia" w:eastAsiaTheme="minorEastAsia" w:cstheme="majorBidi"/>
          <w:bCs w:val="0"/>
          <w:kern w:val="2"/>
          <w:sz w:val="21"/>
          <w:szCs w:val="21"/>
          <w:lang w:val="en-US" w:eastAsia="zh-CN" w:bidi="ar-SA"/>
        </w:rPr>
        <w:t>21</w:t>
      </w:r>
      <w:r>
        <w:rPr>
          <w:rFonts w:hint="eastAsia" w:asciiTheme="minorEastAsia" w:hAnsiTheme="minorEastAsia" w:eastAsiaTheme="minorEastAsia" w:cstheme="majorBidi"/>
          <w:bCs w:val="0"/>
          <w:kern w:val="2"/>
          <w:sz w:val="21"/>
          <w:szCs w:val="21"/>
          <w:lang w:val="en-US" w:eastAsia="zh-CN" w:bidi="ar-SA"/>
        </w:rPr>
        <w:fldChar w:fldCharType="end"/>
      </w:r>
      <w:r>
        <w:rPr>
          <w:rFonts w:hint="eastAsia" w:asciiTheme="minorEastAsia" w:hAnsiTheme="minorEastAsia" w:eastAsiaTheme="minorEastAsia" w:cstheme="majorBidi"/>
          <w:bCs w:val="0"/>
          <w:kern w:val="2"/>
          <w:sz w:val="21"/>
          <w:szCs w:val="21"/>
          <w:lang w:val="en-US" w:eastAsia="zh-CN" w:bidi="ar-SA"/>
        </w:rPr>
        <w:t xml:space="preserve">  审批超时统计</w:t>
      </w:r>
    </w:p>
    <w:p>
      <w:pPr>
        <w:keepNext w:val="0"/>
        <w:keepLines w:val="0"/>
        <w:pageBreakBefore w:val="0"/>
        <w:widowControl w:val="0"/>
        <w:kinsoku/>
        <w:wordWrap/>
        <w:overflowPunct/>
        <w:topLinePunct w:val="0"/>
        <w:autoSpaceDE/>
        <w:autoSpaceDN/>
        <w:bidi w:val="0"/>
        <w:adjustRightInd w:val="0"/>
        <w:snapToGrid w:val="0"/>
        <w:spacing w:before="93" w:after="93"/>
        <w:ind w:firstLine="0" w:firstLineChars="0"/>
        <w:jc w:val="both"/>
        <w:textAlignment w:val="auto"/>
        <w:rPr>
          <w:rFonts w:hint="eastAsia" w:asciiTheme="minorEastAsia" w:hAnsiTheme="minorEastAsia" w:eastAsiaTheme="minorEastAsia" w:cstheme="majorBidi"/>
          <w:bCs w:val="0"/>
          <w:kern w:val="2"/>
          <w:sz w:val="21"/>
          <w:szCs w:val="21"/>
          <w:lang w:val="en-US" w:eastAsia="zh-CN" w:bidi="ar-SA"/>
        </w:rPr>
      </w:pPr>
    </w:p>
    <w:p>
      <w:pPr>
        <w:spacing w:before="312"/>
        <w:ind w:left="425" w:leftChars="0" w:firstLineChars="0"/>
        <w:rPr>
          <w:b/>
          <w:bCs/>
        </w:rPr>
      </w:pPr>
      <w:r>
        <w:rPr>
          <w:rFonts w:hint="eastAsia"/>
          <w:b/>
          <w:bCs/>
        </w:rPr>
        <w:t>审批数据查询</w:t>
      </w:r>
    </w:p>
    <w:p>
      <w:pPr>
        <w:pStyle w:val="33"/>
        <w:numPr>
          <w:ilvl w:val="0"/>
          <w:numId w:val="0"/>
        </w:numPr>
        <w:ind w:firstLine="420" w:firstLineChars="200"/>
        <w:rPr>
          <w:szCs w:val="21"/>
        </w:rPr>
      </w:pPr>
      <w:r>
        <w:rPr>
          <w:rFonts w:hint="eastAsia"/>
          <w:szCs w:val="21"/>
        </w:rPr>
        <w:t>审批数据查询</w:t>
      </w:r>
      <w:r>
        <w:rPr>
          <w:szCs w:val="21"/>
        </w:rPr>
        <w:t>可以根据表单项目</w:t>
      </w:r>
      <w:r>
        <w:rPr>
          <w:rFonts w:hint="eastAsia"/>
          <w:szCs w:val="21"/>
        </w:rPr>
        <w:t>建立的相关视图进行</w:t>
      </w:r>
      <w:r>
        <w:rPr>
          <w:szCs w:val="21"/>
        </w:rPr>
        <w:t>查询，也可以通过自定义SQL文进行查询</w:t>
      </w:r>
      <w:r>
        <w:rPr>
          <w:rFonts w:hint="eastAsia"/>
          <w:szCs w:val="21"/>
        </w:rPr>
        <w:t>。通过表单建立的视图</w:t>
      </w:r>
      <w:r>
        <w:rPr>
          <w:szCs w:val="21"/>
        </w:rPr>
        <w:t>可以</w:t>
      </w:r>
      <w:r>
        <w:rPr>
          <w:rFonts w:hint="eastAsia"/>
          <w:szCs w:val="21"/>
        </w:rPr>
        <w:t>对查询结果</w:t>
      </w:r>
      <w:r>
        <w:rPr>
          <w:szCs w:val="21"/>
        </w:rPr>
        <w:t>进行批量审批</w:t>
      </w:r>
      <w:r>
        <w:rPr>
          <w:rFonts w:hint="eastAsia"/>
          <w:szCs w:val="21"/>
        </w:rPr>
        <w:t>（批量审批按钮可以在审批设置的查询视图定义中进行设置）；在</w:t>
      </w:r>
      <w:r>
        <w:rPr>
          <w:szCs w:val="21"/>
        </w:rPr>
        <w:t>表单上</w:t>
      </w:r>
      <w:r>
        <w:rPr>
          <w:rFonts w:hint="eastAsia"/>
          <w:szCs w:val="21"/>
        </w:rPr>
        <w:t>做</w:t>
      </w:r>
      <w:r>
        <w:rPr>
          <w:szCs w:val="21"/>
        </w:rPr>
        <w:t>查询视图，</w:t>
      </w:r>
      <w:r>
        <w:rPr>
          <w:rFonts w:hint="eastAsia"/>
          <w:szCs w:val="21"/>
        </w:rPr>
        <w:t>可以关联表单，使表单操作更加简便。</w:t>
      </w:r>
    </w:p>
    <w:p>
      <w:pPr>
        <w:pStyle w:val="33"/>
        <w:numPr>
          <w:ilvl w:val="0"/>
          <w:numId w:val="0"/>
        </w:numPr>
        <w:jc w:val="center"/>
      </w:pPr>
      <w:r>
        <w:drawing>
          <wp:inline distT="0" distB="0" distL="114300" distR="114300">
            <wp:extent cx="6410325" cy="3188970"/>
            <wp:effectExtent l="9525" t="9525" r="19050" b="20955"/>
            <wp:docPr id="5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6"/>
                    <pic:cNvPicPr>
                      <a:picLocks noChangeAspect="1"/>
                    </pic:cNvPicPr>
                  </pic:nvPicPr>
                  <pic:blipFill>
                    <a:blip r:embed="rId39"/>
                    <a:stretch>
                      <a:fillRect/>
                    </a:stretch>
                  </pic:blipFill>
                  <pic:spPr>
                    <a:xfrm>
                      <a:off x="0" y="0"/>
                      <a:ext cx="6410325" cy="3188970"/>
                    </a:xfrm>
                    <a:prstGeom prst="rect">
                      <a:avLst/>
                    </a:prstGeom>
                    <a:noFill/>
                    <a:ln>
                      <a:solidFill>
                        <a:srgbClr val="EAEAEA"/>
                      </a:solidFill>
                    </a:ln>
                  </pic:spPr>
                </pic:pic>
              </a:graphicData>
            </a:graphic>
          </wp:inline>
        </w:drawing>
      </w:r>
    </w:p>
    <w:p>
      <w:pPr>
        <w:pStyle w:val="6"/>
        <w:numPr>
          <w:ilvl w:val="0"/>
          <w:numId w:val="0"/>
        </w:numPr>
        <w:jc w:val="center"/>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rPr>
        <w:t xml:space="preserve">图表 </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STYLEREF 2 \s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4.2</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SEQ 图表 \* ARABIC \s 2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22</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审批数据查询画面</w:t>
      </w:r>
    </w:p>
    <w:p>
      <w:pPr>
        <w:pStyle w:val="33"/>
        <w:numPr>
          <w:ilvl w:val="0"/>
          <w:numId w:val="0"/>
        </w:numPr>
        <w:ind w:firstLine="420" w:firstLineChars="200"/>
        <w:rPr>
          <w:szCs w:val="21"/>
        </w:rPr>
      </w:pPr>
      <w:r>
        <w:rPr>
          <w:rFonts w:hint="eastAsia"/>
          <w:szCs w:val="21"/>
        </w:rPr>
        <w:t>另外，针对某些特殊的业务，只有使用人才能清楚自己想要什么样的查询视图。华天为了方便此类人员，特增加了“新建查询申请”的功能，让使用人员自己申请所要建立的查询视图，审批之后方可使用。</w:t>
      </w:r>
    </w:p>
    <w:p>
      <w:pPr>
        <w:pStyle w:val="33"/>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pPr>
      <w:r>
        <w:drawing>
          <wp:inline distT="0" distB="0" distL="114300" distR="114300">
            <wp:extent cx="6416040" cy="3049270"/>
            <wp:effectExtent l="9525" t="9525" r="13335" b="27305"/>
            <wp:docPr id="2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1"/>
                    <pic:cNvPicPr>
                      <a:picLocks noChangeAspect="1"/>
                    </pic:cNvPicPr>
                  </pic:nvPicPr>
                  <pic:blipFill>
                    <a:blip r:embed="rId40"/>
                    <a:stretch>
                      <a:fillRect/>
                    </a:stretch>
                  </pic:blipFill>
                  <pic:spPr>
                    <a:xfrm>
                      <a:off x="0" y="0"/>
                      <a:ext cx="6416040" cy="3049270"/>
                    </a:xfrm>
                    <a:prstGeom prst="rect">
                      <a:avLst/>
                    </a:prstGeom>
                    <a:noFill/>
                    <a:ln>
                      <a:solidFill>
                        <a:srgbClr val="EAEAEA"/>
                      </a:solidFill>
                    </a:ln>
                  </pic:spPr>
                </pic:pic>
              </a:graphicData>
            </a:graphic>
          </wp:inline>
        </w:drawing>
      </w:r>
    </w:p>
    <w:p>
      <w:pPr>
        <w:pStyle w:val="6"/>
        <w:numPr>
          <w:ilvl w:val="0"/>
          <w:numId w:val="0"/>
        </w:numPr>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 xml:space="preserve">图表 </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STYLEREF 2 \s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4.2</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SEQ 图表 \* ARABIC \s 2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23</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审批数据查询</w:t>
      </w:r>
    </w:p>
    <w:p>
      <w:pPr>
        <w:rPr>
          <w:rFonts w:hint="default"/>
          <w:lang w:val="en-US" w:eastAsia="zh-CN"/>
        </w:rPr>
      </w:pPr>
      <w:r>
        <w:rPr>
          <w:rFonts w:hint="default"/>
          <w:lang w:val="en-US" w:eastAsia="zh-CN"/>
        </w:rPr>
        <w:br w:type="page"/>
      </w:r>
    </w:p>
    <w:p>
      <w:pPr>
        <w:pStyle w:val="2"/>
        <w:widowControl/>
        <w:spacing w:after="249"/>
        <w:ind w:left="425" w:leftChars="0" w:firstLineChars="0"/>
        <w:jc w:val="left"/>
        <w:rPr>
          <w:rFonts w:hint="eastAsia" w:asciiTheme="minorEastAsia" w:hAnsiTheme="minorEastAsia" w:eastAsiaTheme="minorEastAsia" w:cstheme="minorEastAsia"/>
        </w:rPr>
      </w:pPr>
      <w:bookmarkStart w:id="50" w:name="_Toc6372"/>
      <w:r>
        <w:rPr>
          <w:rFonts w:hint="eastAsia" w:asciiTheme="minorEastAsia" w:hAnsiTheme="minorEastAsia" w:eastAsiaTheme="minorEastAsia" w:cstheme="minorEastAsia"/>
        </w:rPr>
        <w:t>在</w:t>
      </w:r>
      <w:r>
        <w:rPr>
          <w:rFonts w:hint="eastAsia" w:asciiTheme="minorEastAsia" w:hAnsiTheme="minorEastAsia" w:eastAsiaTheme="minorEastAsia" w:cstheme="minorEastAsia"/>
          <w:bCs w:val="0"/>
        </w:rPr>
        <w:t>系统</w:t>
      </w:r>
      <w:r>
        <w:rPr>
          <w:rFonts w:hint="eastAsia" w:asciiTheme="minorEastAsia" w:hAnsiTheme="minorEastAsia" w:eastAsiaTheme="minorEastAsia" w:cstheme="minorEastAsia"/>
        </w:rPr>
        <w:t>规划、实施与应用过程中的注意事项</w:t>
      </w:r>
      <w:bookmarkEnd w:id="50"/>
    </w:p>
    <w:p>
      <w:pPr>
        <w:spacing w:before="93" w:after="93"/>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在使用电子表单实现纸质单据的样式时，可能会在样式展现上略有不同。比如下拉列表，明细表等控件，对此纸质单据是无法展现的。实施之初，实施人员要和客户讲解清楚，尤其是没有OA系统使用经验的客户，让其做好心理准备。</w:t>
      </w:r>
    </w:p>
    <w:p>
      <w:pPr>
        <w:spacing w:before="93" w:after="93"/>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流程梳理前要先将客户的岗位理解清楚，尤其是岗位级别，逐一与客户确认。岗位梳理清晰，相当于整理了大部分的流程。因为，除个别特殊业务要求外，大部分企事业单位内部流程都是逐级流转的。</w:t>
      </w:r>
    </w:p>
    <w:p>
      <w:pPr>
        <w:spacing w:before="93" w:after="93"/>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实施过程必须有的放矢，也就是说要有明确的目标和范围。如果为了满足所有部门或者人员对于OA系统的使用需求，那么在不经意间你就设定了过多的目标与过广的范围。每个人，每个部门都会有自己的工作重点，但如果当大家都觉得自己的细节需求没有实现，并且系统迟迟无法运行上线，那么大家的项目热情会逐渐消磨殆尽，系统就会在第一步倒下。所以快速上线使用，尽快建立电子信息化的业务办公行为模式，是项目初期的重点。</w:t>
      </w:r>
    </w:p>
    <w:p>
      <w:pPr>
        <w:spacing w:before="93" w:after="93"/>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经过一段时间的系统运行，用户已养成信息化办公的习惯，针对使用细节也进行了深度实施或二次开发，那么现在就可以进行进一步的系统整合，和更深层次的数据挖掘等工作。</w:t>
      </w:r>
    </w:p>
    <w:p>
      <w:pPr>
        <w:widowControl/>
        <w:adjustRightInd/>
        <w:snapToGrid/>
        <w:spacing w:beforeLines="0" w:afterLines="0" w:line="240" w:lineRule="auto"/>
        <w:ind w:firstLine="0" w:firstLineChars="0"/>
        <w:jc w:val="left"/>
        <w:rPr>
          <w:bCs/>
          <w:kern w:val="44"/>
          <w:sz w:val="36"/>
          <w:szCs w:val="44"/>
        </w:rPr>
      </w:pPr>
      <w:r>
        <w:br w:type="page"/>
      </w:r>
    </w:p>
    <w:p>
      <w:pPr>
        <w:pStyle w:val="2"/>
        <w:widowControl/>
        <w:spacing w:after="249"/>
        <w:ind w:left="425" w:leftChars="0" w:firstLineChars="0"/>
        <w:jc w:val="left"/>
        <w:rPr>
          <w:rFonts w:hint="eastAsia" w:ascii="Arial" w:hAnsi="Arial"/>
        </w:rPr>
      </w:pPr>
      <w:bookmarkStart w:id="51" w:name="_Toc20425"/>
      <w:r>
        <w:rPr>
          <w:rFonts w:hint="eastAsia" w:eastAsia="微软雅黑"/>
          <w:bCs w:val="0"/>
        </w:rPr>
        <w:t>行业</w:t>
      </w:r>
      <w:r>
        <w:rPr>
          <w:rFonts w:hint="eastAsia" w:ascii="Arial" w:hAnsi="Arial"/>
        </w:rPr>
        <w:t>应用精选</w:t>
      </w:r>
      <w:bookmarkEnd w:id="51"/>
    </w:p>
    <w:p>
      <w:pPr>
        <w:pStyle w:val="4"/>
        <w:bidi w:val="0"/>
        <w:ind w:left="425" w:leftChars="0" w:firstLineChars="0"/>
      </w:pPr>
      <w:bookmarkStart w:id="52" w:name="_Toc14985"/>
      <w:r>
        <w:rPr>
          <w:rFonts w:hint="eastAsia"/>
        </w:rPr>
        <w:t>大型交通运输集团智慧流程建设案例</w:t>
      </w:r>
      <w:bookmarkEnd w:id="52"/>
    </w:p>
    <w:p>
      <w:pPr>
        <w:spacing w:before="93" w:after="93"/>
        <w:ind w:firstLine="420"/>
        <w:rPr>
          <w:rFonts w:ascii="微软雅黑" w:hAnsi="微软雅黑"/>
          <w:color w:val="000000"/>
          <w:szCs w:val="21"/>
        </w:rPr>
      </w:pPr>
      <w:r>
        <w:rPr>
          <w:rFonts w:hint="eastAsia" w:ascii="微软雅黑" w:hAnsi="微软雅黑"/>
          <w:szCs w:val="21"/>
          <w:lang w:val="en-US" w:eastAsia="zh-CN"/>
        </w:rPr>
        <w:t>某</w:t>
      </w:r>
      <w:r>
        <w:rPr>
          <w:rFonts w:ascii="微软雅黑" w:hAnsi="微软雅黑"/>
          <w:szCs w:val="21"/>
        </w:rPr>
        <w:t>大型交通运输集团</w:t>
      </w:r>
      <w:r>
        <w:rPr>
          <w:rFonts w:hint="eastAsia" w:ascii="微软雅黑" w:hAnsi="微软雅黑"/>
          <w:szCs w:val="21"/>
        </w:rPr>
        <w:t>是</w:t>
      </w:r>
      <w:r>
        <w:rPr>
          <w:rFonts w:ascii="微软雅黑" w:hAnsi="微软雅黑"/>
          <w:szCs w:val="21"/>
        </w:rPr>
        <w:t>以现代客运为核心主业，同时</w:t>
      </w:r>
      <w:r>
        <w:rPr>
          <w:rFonts w:hint="eastAsia" w:ascii="微软雅黑" w:hAnsi="微软雅黑"/>
          <w:szCs w:val="21"/>
        </w:rPr>
        <w:t>业务覆盖</w:t>
      </w:r>
      <w:r>
        <w:rPr>
          <w:rFonts w:ascii="微软雅黑" w:hAnsi="微软雅黑"/>
          <w:szCs w:val="21"/>
        </w:rPr>
        <w:t>现代物流、汽车服务、旅游服务、金融保险等产业的大型企业集团</w:t>
      </w:r>
      <w:r>
        <w:rPr>
          <w:rFonts w:hint="eastAsia" w:ascii="微软雅黑" w:hAnsi="微软雅黑"/>
          <w:szCs w:val="21"/>
        </w:rPr>
        <w:t>。随着集团的发展，早期购买的OA产品在功能方面已不能满足其需求，因其下属物流公司在运行华天动力协同办公OA系统的过程中效果显著，所以在此良好的合作关系基础上，集团总部选择和华天动力进行合作，在总部及其他分公司部署及推广华天动力协同办公OA系统，替代目前集团的OA产品</w:t>
      </w:r>
      <w:r>
        <w:rPr>
          <w:rFonts w:hint="eastAsia" w:ascii="微软雅黑" w:hAnsi="微软雅黑"/>
          <w:color w:val="000000"/>
          <w:szCs w:val="21"/>
        </w:rPr>
        <w:t>。</w:t>
      </w:r>
    </w:p>
    <w:p>
      <w:pPr>
        <w:spacing w:before="93" w:after="93"/>
        <w:ind w:firstLine="420"/>
        <w:rPr>
          <w:rFonts w:ascii="微软雅黑" w:hAnsi="微软雅黑"/>
          <w:color w:val="000000"/>
          <w:szCs w:val="21"/>
        </w:rPr>
      </w:pPr>
      <w:r>
        <w:rPr>
          <w:rFonts w:hint="eastAsia" w:ascii="微软雅黑" w:hAnsi="微软雅黑"/>
          <w:color w:val="000000"/>
          <w:szCs w:val="21"/>
        </w:rPr>
        <w:t>系统实施过程中华天与</w:t>
      </w:r>
      <w:r>
        <w:rPr>
          <w:rFonts w:hint="eastAsia" w:ascii="微软雅黑" w:hAnsi="微软雅黑"/>
          <w:color w:val="000000"/>
          <w:szCs w:val="21"/>
          <w:lang w:eastAsia="zh-CN"/>
        </w:rPr>
        <w:t>集团</w:t>
      </w:r>
      <w:r>
        <w:rPr>
          <w:rFonts w:hint="eastAsia" w:ascii="微软雅黑" w:hAnsi="微软雅黑"/>
          <w:color w:val="000000"/>
          <w:szCs w:val="21"/>
        </w:rPr>
        <w:t>通力合作，建设标准规范的业务流程。因</w:t>
      </w:r>
      <w:r>
        <w:rPr>
          <w:rFonts w:ascii="微软雅黑" w:hAnsi="微软雅黑"/>
          <w:color w:val="000000"/>
          <w:szCs w:val="21"/>
        </w:rPr>
        <w:t>OA</w:t>
      </w:r>
      <w:r>
        <w:rPr>
          <w:rFonts w:hint="eastAsia" w:ascii="微软雅黑" w:hAnsi="微软雅黑"/>
          <w:color w:val="000000"/>
          <w:szCs w:val="21"/>
        </w:rPr>
        <w:t>覆盖的人员广度与深度大幅增加，重要管理流程需实现从集团总部到末端二三级公司具体管理人员的纵向贯通，杜绝了以前因无账号覆盖导致的流程代填情况的发生，大大加强了重要审批流程的真实性和高效性，也符合内控制度关于“不相容职责分离”的原则。二级三级公司及各下属公司自行构建相关流程审批事项，进行电子审批，所有项目均电子化、归档，并由系统自动生成台账和统计，内控管理力度大大增强。</w:t>
      </w:r>
    </w:p>
    <w:p>
      <w:pPr>
        <w:spacing w:before="93" w:after="93"/>
        <w:ind w:firstLine="420"/>
        <w:rPr>
          <w:rFonts w:ascii="微软雅黑" w:hAnsi="微软雅黑"/>
          <w:szCs w:val="24"/>
        </w:rPr>
      </w:pPr>
      <w:r>
        <w:rPr>
          <w:rFonts w:hint="eastAsia" w:ascii="微软雅黑" w:hAnsi="微软雅黑"/>
          <w:color w:val="000000"/>
          <w:szCs w:val="21"/>
        </w:rPr>
        <w:t>在审批流转中，共计制作审批表单流程289例，按类别分为行政类、财务类、人事类等</w:t>
      </w:r>
      <w:r>
        <w:rPr>
          <w:rFonts w:ascii="微软雅黑" w:hAnsi="微软雅黑"/>
          <w:color w:val="000000"/>
          <w:szCs w:val="21"/>
        </w:rPr>
        <w:t>13</w:t>
      </w:r>
      <w:r>
        <w:rPr>
          <w:rFonts w:hint="eastAsia" w:ascii="微软雅黑" w:hAnsi="微软雅黑"/>
          <w:color w:val="000000"/>
          <w:szCs w:val="21"/>
        </w:rPr>
        <w:t>个类别；按使用范围分为集团级、二级公司级、三级公司级。</w:t>
      </w:r>
      <w:r>
        <w:rPr>
          <w:rFonts w:hint="eastAsia" w:ascii="微软雅黑" w:hAnsi="微软雅黑"/>
          <w:szCs w:val="24"/>
        </w:rPr>
        <w:t>组织架构分集团、二级子公司、三级子公司，公司下设置多部门，二级子公司</w:t>
      </w:r>
      <w:r>
        <w:rPr>
          <w:rFonts w:ascii="微软雅黑" w:hAnsi="微软雅黑"/>
          <w:szCs w:val="24"/>
        </w:rPr>
        <w:t>17</w:t>
      </w:r>
      <w:r>
        <w:rPr>
          <w:rFonts w:hint="eastAsia" w:ascii="微软雅黑" w:hAnsi="微软雅黑"/>
          <w:szCs w:val="24"/>
        </w:rPr>
        <w:t>家。管理人数达到千人。</w:t>
      </w:r>
    </w:p>
    <w:p>
      <w:pPr>
        <w:keepNext/>
        <w:keepLines w:val="0"/>
        <w:pageBreakBefore w:val="0"/>
        <w:widowControl w:val="0"/>
        <w:kinsoku/>
        <w:wordWrap/>
        <w:overflowPunct/>
        <w:topLinePunct w:val="0"/>
        <w:autoSpaceDE/>
        <w:autoSpaceDN/>
        <w:bidi w:val="0"/>
        <w:adjustRightInd w:val="0"/>
        <w:snapToGrid w:val="0"/>
        <w:spacing w:before="93" w:after="93"/>
        <w:ind w:firstLine="0" w:firstLineChars="0"/>
        <w:jc w:val="center"/>
        <w:textAlignment w:val="auto"/>
        <w:rPr>
          <w:rFonts w:ascii="微软雅黑" w:hAnsi="微软雅黑"/>
        </w:rPr>
      </w:pPr>
      <w:r>
        <w:rPr>
          <w:rFonts w:ascii="微软雅黑" w:hAnsi="微软雅黑"/>
        </w:rPr>
        <w:drawing>
          <wp:inline distT="0" distB="0" distL="0" distR="0">
            <wp:extent cx="5278120" cy="3079115"/>
            <wp:effectExtent l="4445" t="4445" r="13335" b="1524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pPr>
        <w:pStyle w:val="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asciiTheme="minorEastAsia" w:hAnsiTheme="minorEastAsia" w:eastAsiaTheme="minorEastAsia"/>
          <w:sz w:val="21"/>
          <w:szCs w:val="21"/>
        </w:rPr>
        <w:t xml:space="preserve">图表 </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STYLEREF 2 \s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6.1</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SEQ 图表 \* ARABIC \s 2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1</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表单统计</w:t>
      </w:r>
    </w:p>
    <w:p>
      <w:pPr>
        <w:spacing w:before="93" w:after="93"/>
        <w:ind w:firstLine="420"/>
        <w:rPr>
          <w:rFonts w:ascii="微软雅黑" w:hAnsi="微软雅黑"/>
          <w:szCs w:val="24"/>
        </w:rPr>
      </w:pPr>
      <w:r>
        <w:rPr>
          <w:rFonts w:hint="eastAsia" w:ascii="微软雅黑" w:hAnsi="微软雅黑"/>
          <w:szCs w:val="24"/>
        </w:rPr>
        <w:t>部分审批流程展示：</w:t>
      </w:r>
    </w:p>
    <w:p>
      <w:pPr>
        <w:keepNext w:val="0"/>
        <w:keepLines w:val="0"/>
        <w:pageBreakBefore w:val="0"/>
        <w:widowControl w:val="0"/>
        <w:kinsoku/>
        <w:wordWrap/>
        <w:overflowPunct/>
        <w:topLinePunct w:val="0"/>
        <w:autoSpaceDE/>
        <w:autoSpaceDN/>
        <w:bidi w:val="0"/>
        <w:adjustRightInd w:val="0"/>
        <w:snapToGrid w:val="0"/>
        <w:spacing w:before="93" w:after="93"/>
        <w:ind w:firstLine="0" w:firstLineChars="0"/>
        <w:jc w:val="center"/>
        <w:textAlignment w:val="auto"/>
        <w:rPr>
          <w:rFonts w:hint="eastAsia" w:ascii="微软雅黑" w:hAnsi="微软雅黑"/>
        </w:rPr>
      </w:pPr>
      <w:r>
        <w:rPr>
          <w:rFonts w:hint="eastAsia" w:ascii="微软雅黑" w:hAnsi="微软雅黑"/>
        </w:rPr>
        <w:drawing>
          <wp:inline distT="0" distB="0" distL="0" distR="0">
            <wp:extent cx="5800725" cy="2805430"/>
            <wp:effectExtent l="9525" t="9525" r="19050" b="2349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42" cstate="print"/>
                    <a:srcRect/>
                    <a:stretch>
                      <a:fillRect/>
                    </a:stretch>
                  </pic:blipFill>
                  <pic:spPr>
                    <a:xfrm>
                      <a:off x="0" y="0"/>
                      <a:ext cx="5800725" cy="2805666"/>
                    </a:xfrm>
                    <a:prstGeom prst="rect">
                      <a:avLst/>
                    </a:prstGeom>
                    <a:noFill/>
                    <a:ln w="9525">
                      <a:solidFill>
                        <a:srgbClr val="EAEAEA"/>
                      </a:solidFill>
                      <a:miter lim="800000"/>
                      <a:headEnd/>
                      <a:tailEnd/>
                    </a:ln>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 xml:space="preserve">图表 </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STYLEREF 2 \s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6.1</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SEQ 图表 \* ARABIC \s 2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二级公司属管人员请假流程</w:t>
      </w:r>
    </w:p>
    <w:p>
      <w:pPr>
        <w:keepNext w:val="0"/>
        <w:keepLines w:val="0"/>
        <w:pageBreakBefore w:val="0"/>
        <w:widowControl w:val="0"/>
        <w:kinsoku/>
        <w:wordWrap/>
        <w:overflowPunct/>
        <w:topLinePunct w:val="0"/>
        <w:autoSpaceDE/>
        <w:autoSpaceDN/>
        <w:bidi w:val="0"/>
        <w:adjustRightInd w:val="0"/>
        <w:snapToGrid w:val="0"/>
        <w:spacing w:before="93" w:after="93"/>
        <w:ind w:firstLine="0" w:firstLineChars="0"/>
        <w:jc w:val="center"/>
        <w:textAlignment w:val="auto"/>
        <w:rPr>
          <w:rFonts w:hint="eastAsia" w:ascii="微软雅黑" w:hAnsi="微软雅黑"/>
        </w:rPr>
      </w:pPr>
      <w:r>
        <w:rPr>
          <w:rFonts w:hint="eastAsia" w:ascii="微软雅黑" w:hAnsi="微软雅黑"/>
        </w:rPr>
        <w:drawing>
          <wp:inline distT="0" distB="0" distL="0" distR="0">
            <wp:extent cx="6000750" cy="3742055"/>
            <wp:effectExtent l="9525" t="9525" r="9525" b="2032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43" cstate="print"/>
                    <a:srcRect/>
                    <a:stretch>
                      <a:fillRect/>
                    </a:stretch>
                  </pic:blipFill>
                  <pic:spPr>
                    <a:xfrm>
                      <a:off x="0" y="0"/>
                      <a:ext cx="6000750" cy="3742648"/>
                    </a:xfrm>
                    <a:prstGeom prst="rect">
                      <a:avLst/>
                    </a:prstGeom>
                    <a:noFill/>
                    <a:ln w="9525">
                      <a:solidFill>
                        <a:srgbClr val="EAEAEA"/>
                      </a:solidFill>
                      <a:miter lim="800000"/>
                      <a:headEnd/>
                      <a:tailEnd/>
                    </a:ln>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rPr>
        <w:t xml:space="preserve">图表 </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STYLEREF 2 \s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6.1</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SEQ 图表 \* ARABIC \s 2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3</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集团人员请差旅流程</w:t>
      </w:r>
    </w:p>
    <w:p>
      <w:pPr>
        <w:pStyle w:val="6"/>
        <w:spacing w:before="93" w:after="93"/>
        <w:ind w:firstLine="420"/>
        <w:jc w:val="center"/>
        <w:rPr>
          <w:rFonts w:asciiTheme="minorEastAsia" w:hAnsiTheme="minorEastAsia" w:eastAsiaTheme="minorEastAsia"/>
          <w:sz w:val="21"/>
          <w:szCs w:val="21"/>
        </w:rPr>
      </w:pPr>
    </w:p>
    <w:p>
      <w:pPr>
        <w:spacing w:before="93" w:after="93"/>
        <w:ind w:firstLine="420"/>
      </w:pPr>
      <w:r>
        <w:rPr>
          <w:rFonts w:hint="eastAsia"/>
        </w:rPr>
        <w:t>部分审批表单展示：</w:t>
      </w:r>
    </w:p>
    <w:p>
      <w:pPr>
        <w:keepNext w:val="0"/>
        <w:keepLines w:val="0"/>
        <w:pageBreakBefore w:val="0"/>
        <w:widowControl w:val="0"/>
        <w:kinsoku/>
        <w:wordWrap/>
        <w:overflowPunct/>
        <w:topLinePunct w:val="0"/>
        <w:autoSpaceDE/>
        <w:autoSpaceDN/>
        <w:bidi w:val="0"/>
        <w:adjustRightInd w:val="0"/>
        <w:snapToGrid w:val="0"/>
        <w:spacing w:before="93" w:after="93"/>
        <w:ind w:firstLine="0" w:firstLineChars="0"/>
        <w:jc w:val="center"/>
        <w:textAlignment w:val="auto"/>
      </w:pPr>
      <w:r>
        <w:drawing>
          <wp:inline distT="0" distB="0" distL="0" distR="0">
            <wp:extent cx="5486400" cy="4311650"/>
            <wp:effectExtent l="9525" t="9525" r="9525" b="222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44" cstate="print"/>
                    <a:stretch>
                      <a:fillRect/>
                    </a:stretch>
                  </pic:blipFill>
                  <pic:spPr>
                    <a:xfrm>
                      <a:off x="0" y="0"/>
                      <a:ext cx="5486400" cy="4311650"/>
                    </a:xfrm>
                    <a:prstGeom prst="rect">
                      <a:avLst/>
                    </a:prstGeom>
                    <a:ln>
                      <a:solidFill>
                        <a:srgbClr val="EAEAEA"/>
                      </a:solidFill>
                    </a:ln>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rPr>
        <w:t xml:space="preserve">图表 </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STYLEREF 2 \s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6.1</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SEQ 图表 \* ARABIC \s 2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4</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固定资产申购</w:t>
      </w:r>
    </w:p>
    <w:p>
      <w:pPr>
        <w:keepNext w:val="0"/>
        <w:keepLines w:val="0"/>
        <w:pageBreakBefore w:val="0"/>
        <w:widowControl w:val="0"/>
        <w:kinsoku/>
        <w:wordWrap/>
        <w:overflowPunct/>
        <w:topLinePunct w:val="0"/>
        <w:autoSpaceDE/>
        <w:autoSpaceDN/>
        <w:bidi w:val="0"/>
        <w:adjustRightInd w:val="0"/>
        <w:snapToGrid w:val="0"/>
        <w:spacing w:before="93" w:after="93"/>
        <w:ind w:firstLine="0" w:firstLineChars="0"/>
        <w:jc w:val="center"/>
        <w:textAlignment w:val="auto"/>
      </w:pPr>
      <w:r>
        <w:drawing>
          <wp:inline distT="0" distB="0" distL="0" distR="0">
            <wp:extent cx="4312920" cy="4234180"/>
            <wp:effectExtent l="9525" t="9525" r="20955" b="2349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45" cstate="print"/>
                    <a:stretch>
                      <a:fillRect/>
                    </a:stretch>
                  </pic:blipFill>
                  <pic:spPr>
                    <a:xfrm>
                      <a:off x="0" y="0"/>
                      <a:ext cx="4322530" cy="4243484"/>
                    </a:xfrm>
                    <a:prstGeom prst="rect">
                      <a:avLst/>
                    </a:prstGeom>
                    <a:ln>
                      <a:solidFill>
                        <a:srgbClr val="EAEAEA"/>
                      </a:solidFill>
                    </a:ln>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heme="minorEastAsia" w:hAnsiTheme="minorEastAsia" w:eastAsiaTheme="minorEastAsia"/>
          <w:sz w:val="21"/>
          <w:szCs w:val="21"/>
          <w:u w:val="none"/>
          <w:lang w:val="en-US" w:eastAsia="zh-CN"/>
        </w:rPr>
      </w:pPr>
      <w:r>
        <w:rPr>
          <w:rFonts w:hint="eastAsia" w:asciiTheme="minorEastAsia" w:hAnsiTheme="minorEastAsia" w:eastAsiaTheme="minorEastAsia"/>
          <w:sz w:val="21"/>
          <w:szCs w:val="21"/>
          <w:u w:val="none"/>
        </w:rPr>
        <w:t xml:space="preserve">图表 </w:t>
      </w:r>
      <w:r>
        <w:rPr>
          <w:rFonts w:hint="eastAsia" w:asciiTheme="minorEastAsia" w:hAnsiTheme="minorEastAsia" w:eastAsiaTheme="minorEastAsia"/>
          <w:sz w:val="21"/>
          <w:szCs w:val="21"/>
          <w:u w:val="none"/>
        </w:rPr>
        <w:fldChar w:fldCharType="begin"/>
      </w:r>
      <w:r>
        <w:rPr>
          <w:rFonts w:hint="eastAsia" w:asciiTheme="minorEastAsia" w:hAnsiTheme="minorEastAsia" w:eastAsiaTheme="minorEastAsia"/>
          <w:sz w:val="21"/>
          <w:szCs w:val="21"/>
          <w:u w:val="none"/>
        </w:rPr>
        <w:instrText xml:space="preserve"> STYLEREF 2 \s </w:instrText>
      </w:r>
      <w:r>
        <w:rPr>
          <w:rFonts w:hint="eastAsia" w:asciiTheme="minorEastAsia" w:hAnsiTheme="minorEastAsia" w:eastAsiaTheme="minorEastAsia"/>
          <w:sz w:val="21"/>
          <w:szCs w:val="21"/>
          <w:u w:val="none"/>
        </w:rPr>
        <w:fldChar w:fldCharType="separate"/>
      </w:r>
      <w:r>
        <w:rPr>
          <w:rFonts w:hint="eastAsia" w:asciiTheme="minorEastAsia" w:hAnsiTheme="minorEastAsia" w:eastAsiaTheme="minorEastAsia"/>
          <w:sz w:val="21"/>
          <w:szCs w:val="21"/>
          <w:u w:val="none"/>
        </w:rPr>
        <w:t>6.1</w:t>
      </w:r>
      <w:r>
        <w:rPr>
          <w:rFonts w:hint="eastAsia" w:asciiTheme="minorEastAsia" w:hAnsiTheme="minorEastAsia" w:eastAsiaTheme="minorEastAsia"/>
          <w:sz w:val="21"/>
          <w:szCs w:val="21"/>
          <w:u w:val="none"/>
        </w:rPr>
        <w:fldChar w:fldCharType="end"/>
      </w:r>
      <w:r>
        <w:rPr>
          <w:rFonts w:hint="eastAsia" w:asciiTheme="minorEastAsia" w:hAnsiTheme="minorEastAsia" w:eastAsiaTheme="minorEastAsia"/>
          <w:sz w:val="21"/>
          <w:szCs w:val="21"/>
          <w:u w:val="none"/>
          <w:lang w:eastAsia="zh-CN"/>
        </w:rPr>
        <w:t>-</w:t>
      </w:r>
      <w:r>
        <w:rPr>
          <w:rFonts w:hint="eastAsia" w:asciiTheme="minorEastAsia" w:hAnsiTheme="minorEastAsia" w:eastAsiaTheme="minorEastAsia"/>
          <w:sz w:val="21"/>
          <w:szCs w:val="21"/>
          <w:u w:val="none"/>
        </w:rPr>
        <w:fldChar w:fldCharType="begin"/>
      </w:r>
      <w:r>
        <w:rPr>
          <w:rFonts w:hint="eastAsia" w:asciiTheme="minorEastAsia" w:hAnsiTheme="minorEastAsia" w:eastAsiaTheme="minorEastAsia"/>
          <w:sz w:val="21"/>
          <w:szCs w:val="21"/>
          <w:u w:val="none"/>
        </w:rPr>
        <w:instrText xml:space="preserve"> SEQ 图表 \* ARABIC \s 2 </w:instrText>
      </w:r>
      <w:r>
        <w:rPr>
          <w:rFonts w:hint="eastAsia" w:asciiTheme="minorEastAsia" w:hAnsiTheme="minorEastAsia" w:eastAsiaTheme="minorEastAsia"/>
          <w:sz w:val="21"/>
          <w:szCs w:val="21"/>
          <w:u w:val="none"/>
        </w:rPr>
        <w:fldChar w:fldCharType="separate"/>
      </w:r>
      <w:r>
        <w:rPr>
          <w:rFonts w:hint="eastAsia" w:asciiTheme="minorEastAsia" w:hAnsiTheme="minorEastAsia" w:eastAsiaTheme="minorEastAsia"/>
          <w:sz w:val="21"/>
          <w:szCs w:val="21"/>
          <w:u w:val="none"/>
        </w:rPr>
        <w:t>5</w:t>
      </w:r>
      <w:r>
        <w:rPr>
          <w:rFonts w:hint="eastAsia" w:asciiTheme="minorEastAsia" w:hAnsiTheme="minorEastAsia" w:eastAsiaTheme="minorEastAsia"/>
          <w:sz w:val="21"/>
          <w:szCs w:val="21"/>
          <w:u w:val="none"/>
        </w:rPr>
        <w:fldChar w:fldCharType="end"/>
      </w:r>
      <w:r>
        <w:rPr>
          <w:rFonts w:hint="eastAsia" w:asciiTheme="minorEastAsia" w:hAnsiTheme="minorEastAsia" w:eastAsiaTheme="minorEastAsia"/>
          <w:sz w:val="21"/>
          <w:szCs w:val="21"/>
          <w:u w:val="none"/>
          <w:lang w:val="en-US" w:eastAsia="zh-CN"/>
        </w:rPr>
        <w:t xml:space="preserve">  </w:t>
      </w:r>
      <w:r>
        <w:rPr>
          <w:rFonts w:hint="eastAsia" w:asciiTheme="minorEastAsia" w:hAnsiTheme="minorEastAsia" w:eastAsiaTheme="minorEastAsia"/>
          <w:sz w:val="21"/>
          <w:szCs w:val="21"/>
          <w:u w:val="none"/>
        </w:rPr>
        <w:t>出差申请单</w:t>
      </w:r>
    </w:p>
    <w:p>
      <w:pPr>
        <w:spacing w:before="93" w:after="93" w:line="360" w:lineRule="auto"/>
        <w:ind w:firstLine="360"/>
        <w:jc w:val="center"/>
        <w:rPr>
          <w:sz w:val="18"/>
          <w:szCs w:val="18"/>
        </w:rPr>
      </w:pPr>
    </w:p>
    <w:p>
      <w:pPr>
        <w:pStyle w:val="4"/>
        <w:bidi w:val="0"/>
        <w:ind w:left="425" w:leftChars="0" w:firstLineChars="0"/>
      </w:pPr>
      <w:bookmarkStart w:id="53" w:name="_Toc19759"/>
      <w:r>
        <w:rPr>
          <w:rFonts w:hint="eastAsia"/>
        </w:rPr>
        <w:t>大型装备制造企业流程数字化案例</w:t>
      </w:r>
      <w:bookmarkEnd w:id="53"/>
    </w:p>
    <w:p>
      <w:pPr>
        <w:spacing w:before="93" w:after="93"/>
        <w:ind w:firstLine="420"/>
        <w:rPr>
          <w:rFonts w:hint="eastAsia" w:ascii="微软雅黑" w:hAnsi="微软雅黑"/>
          <w:color w:val="000000"/>
          <w:szCs w:val="21"/>
        </w:rPr>
      </w:pPr>
      <w:r>
        <w:rPr>
          <w:rFonts w:hint="eastAsia" w:ascii="微软雅黑" w:hAnsi="微软雅黑"/>
          <w:color w:val="000000"/>
          <w:szCs w:val="21"/>
          <w:lang w:val="en-US" w:eastAsia="zh-CN"/>
        </w:rPr>
        <w:t>某</w:t>
      </w:r>
      <w:r>
        <w:rPr>
          <w:rFonts w:hint="eastAsia" w:ascii="微软雅黑" w:hAnsi="微软雅黑"/>
          <w:color w:val="000000"/>
          <w:szCs w:val="21"/>
        </w:rPr>
        <w:t>大型装备制造企业</w:t>
      </w:r>
      <w:r>
        <w:rPr>
          <w:rFonts w:hint="eastAsia" w:ascii="微软雅黑" w:hAnsi="微软雅黑"/>
          <w:color w:val="000000"/>
          <w:szCs w:val="21"/>
        </w:rPr>
        <w:t>，是我国大型核承压设备国产化的专业制造基地之一，主要生产百万千瓦级核电反应堆压力容器、蒸汽发生器、汽水分离再热器、非能动余热排出热交换器、稳压器等核电站核岛及常规岛主设备。</w:t>
      </w:r>
    </w:p>
    <w:p>
      <w:pPr>
        <w:spacing w:before="93" w:after="93"/>
        <w:ind w:firstLine="420"/>
        <w:rPr>
          <w:rFonts w:ascii="微软雅黑" w:hAnsi="微软雅黑"/>
          <w:color w:val="000000"/>
          <w:szCs w:val="21"/>
        </w:rPr>
      </w:pPr>
      <w:r>
        <w:rPr>
          <w:rFonts w:hint="eastAsia" w:ascii="微软雅黑" w:hAnsi="微软雅黑"/>
          <w:color w:val="000000"/>
          <w:szCs w:val="21"/>
        </w:rPr>
        <w:t>随着</w:t>
      </w:r>
      <w:r>
        <w:rPr>
          <w:rFonts w:hint="eastAsia" w:ascii="微软雅黑" w:hAnsi="微软雅黑"/>
          <w:color w:val="000000"/>
          <w:szCs w:val="21"/>
          <w:lang w:val="en-US" w:eastAsia="zh-CN"/>
        </w:rPr>
        <w:t>企业</w:t>
      </w:r>
      <w:r>
        <w:rPr>
          <w:rFonts w:hint="eastAsia" w:ascii="微软雅黑" w:hAnsi="微软雅黑"/>
          <w:color w:val="000000"/>
          <w:szCs w:val="21"/>
        </w:rPr>
        <w:t>的发展，早期购买的OA产品在功能方面已不能满足企业当下的要求，本次</w:t>
      </w:r>
      <w:r>
        <w:rPr>
          <w:rFonts w:hint="eastAsia" w:ascii="微软雅黑" w:hAnsi="微软雅黑"/>
          <w:color w:val="000000"/>
          <w:szCs w:val="21"/>
          <w:lang w:val="en-US" w:eastAsia="zh-CN"/>
        </w:rPr>
        <w:t>企业</w:t>
      </w:r>
      <w:r>
        <w:rPr>
          <w:rFonts w:hint="eastAsia" w:ascii="微软雅黑" w:hAnsi="微软雅黑"/>
          <w:color w:val="000000"/>
          <w:szCs w:val="21"/>
        </w:rPr>
        <w:t>选择和华天动力进行合作，全面推广华天动力</w:t>
      </w:r>
      <w:r>
        <w:rPr>
          <w:rFonts w:hint="eastAsia" w:ascii="微软雅黑" w:hAnsi="微软雅黑"/>
          <w:color w:val="000000"/>
          <w:szCs w:val="21"/>
          <w:lang w:val="en-US" w:eastAsia="zh-CN"/>
        </w:rPr>
        <w:t>智慧流程与审批管理平台</w:t>
      </w:r>
      <w:r>
        <w:rPr>
          <w:rFonts w:hint="eastAsia" w:ascii="微软雅黑" w:hAnsi="微软雅黑"/>
          <w:color w:val="000000"/>
          <w:szCs w:val="21"/>
        </w:rPr>
        <w:t>，替代目前使用的OA产品，依据</w:t>
      </w:r>
      <w:r>
        <w:rPr>
          <w:rFonts w:ascii="微软雅黑" w:hAnsi="微软雅黑"/>
          <w:color w:val="000000"/>
          <w:szCs w:val="21"/>
        </w:rPr>
        <w:t>公司管理制度建立综合管理信息系统</w:t>
      </w:r>
      <w:r>
        <w:rPr>
          <w:rFonts w:hint="eastAsia" w:ascii="微软雅黑" w:hAnsi="微软雅黑"/>
          <w:color w:val="000000"/>
          <w:szCs w:val="21"/>
        </w:rPr>
        <w:t>，形成个人</w:t>
      </w:r>
      <w:r>
        <w:rPr>
          <w:rFonts w:ascii="微软雅黑" w:hAnsi="微软雅黑"/>
          <w:color w:val="000000"/>
          <w:szCs w:val="21"/>
        </w:rPr>
        <w:t>办公、</w:t>
      </w:r>
      <w:r>
        <w:rPr>
          <w:rFonts w:hint="eastAsia" w:ascii="微软雅黑" w:hAnsi="微软雅黑"/>
          <w:color w:val="000000"/>
          <w:szCs w:val="21"/>
        </w:rPr>
        <w:t>信息</w:t>
      </w:r>
      <w:r>
        <w:rPr>
          <w:rFonts w:ascii="微软雅黑" w:hAnsi="微软雅黑"/>
          <w:color w:val="000000"/>
          <w:szCs w:val="21"/>
        </w:rPr>
        <w:t>交流、</w:t>
      </w:r>
      <w:r>
        <w:rPr>
          <w:rFonts w:hint="eastAsia" w:ascii="微软雅黑" w:hAnsi="微软雅黑"/>
          <w:color w:val="000000"/>
          <w:szCs w:val="21"/>
        </w:rPr>
        <w:t>文档</w:t>
      </w:r>
      <w:r>
        <w:rPr>
          <w:rFonts w:ascii="微软雅黑" w:hAnsi="微软雅黑"/>
          <w:color w:val="000000"/>
          <w:szCs w:val="21"/>
        </w:rPr>
        <w:t>中心、审批</w:t>
      </w:r>
      <w:r>
        <w:rPr>
          <w:rFonts w:hint="eastAsia" w:ascii="微软雅黑" w:hAnsi="微软雅黑"/>
          <w:color w:val="000000"/>
          <w:szCs w:val="21"/>
        </w:rPr>
        <w:t>平台</w:t>
      </w:r>
      <w:r>
        <w:rPr>
          <w:rFonts w:ascii="微软雅黑" w:hAnsi="微软雅黑"/>
          <w:color w:val="000000"/>
          <w:szCs w:val="21"/>
        </w:rPr>
        <w:t>多功能</w:t>
      </w:r>
      <w:r>
        <w:rPr>
          <w:rFonts w:hint="eastAsia" w:ascii="微软雅黑" w:hAnsi="微软雅黑"/>
          <w:color w:val="000000"/>
          <w:szCs w:val="21"/>
        </w:rPr>
        <w:t>联动</w:t>
      </w:r>
      <w:r>
        <w:rPr>
          <w:rFonts w:ascii="微软雅黑" w:hAnsi="微软雅黑"/>
          <w:color w:val="000000"/>
          <w:szCs w:val="21"/>
        </w:rPr>
        <w:t>系统</w:t>
      </w:r>
      <w:r>
        <w:rPr>
          <w:rFonts w:hint="eastAsia" w:ascii="微软雅黑" w:hAnsi="微软雅黑"/>
          <w:color w:val="000000"/>
          <w:szCs w:val="21"/>
        </w:rPr>
        <w:t>.；建立标准</w:t>
      </w:r>
      <w:r>
        <w:rPr>
          <w:rFonts w:ascii="微软雅黑" w:hAnsi="微软雅黑"/>
          <w:color w:val="000000"/>
          <w:szCs w:val="21"/>
        </w:rPr>
        <w:t>化、无纸化办公平台，</w:t>
      </w:r>
      <w:r>
        <w:rPr>
          <w:rFonts w:hint="eastAsia" w:ascii="微软雅黑" w:hAnsi="微软雅黑"/>
          <w:color w:val="000000"/>
          <w:szCs w:val="21"/>
        </w:rPr>
        <w:t>所有</w:t>
      </w:r>
      <w:r>
        <w:rPr>
          <w:rFonts w:ascii="微软雅黑" w:hAnsi="微软雅黑"/>
          <w:color w:val="000000"/>
          <w:szCs w:val="21"/>
        </w:rPr>
        <w:t>审批</w:t>
      </w:r>
      <w:r>
        <w:rPr>
          <w:rFonts w:hint="eastAsia" w:ascii="微软雅黑" w:hAnsi="微软雅黑"/>
          <w:color w:val="000000"/>
          <w:szCs w:val="21"/>
        </w:rPr>
        <w:t>交流</w:t>
      </w:r>
      <w:r>
        <w:rPr>
          <w:rFonts w:ascii="微软雅黑" w:hAnsi="微软雅黑"/>
          <w:color w:val="000000"/>
          <w:szCs w:val="21"/>
        </w:rPr>
        <w:t>以</w:t>
      </w:r>
      <w:r>
        <w:rPr>
          <w:rFonts w:hint="eastAsia" w:ascii="微软雅黑" w:hAnsi="微软雅黑"/>
          <w:color w:val="000000"/>
          <w:szCs w:val="21"/>
        </w:rPr>
        <w:t>平台传递；建立企业</w:t>
      </w:r>
      <w:r>
        <w:rPr>
          <w:rFonts w:ascii="微软雅黑" w:hAnsi="微软雅黑"/>
          <w:color w:val="000000"/>
          <w:szCs w:val="21"/>
        </w:rPr>
        <w:t>知识积累</w:t>
      </w:r>
      <w:r>
        <w:rPr>
          <w:rFonts w:hint="eastAsia" w:ascii="微软雅黑" w:hAnsi="微软雅黑"/>
          <w:color w:val="000000"/>
          <w:szCs w:val="21"/>
        </w:rPr>
        <w:t>与</w:t>
      </w:r>
      <w:r>
        <w:rPr>
          <w:rFonts w:ascii="微软雅黑" w:hAnsi="微软雅黑"/>
          <w:color w:val="000000"/>
          <w:szCs w:val="21"/>
        </w:rPr>
        <w:t>共享平台</w:t>
      </w:r>
      <w:r>
        <w:rPr>
          <w:rFonts w:hint="eastAsia" w:ascii="微软雅黑" w:hAnsi="微软雅黑"/>
          <w:color w:val="000000"/>
          <w:szCs w:val="21"/>
        </w:rPr>
        <w:t>；建立企业内部</w:t>
      </w:r>
      <w:r>
        <w:rPr>
          <w:rFonts w:ascii="微软雅黑" w:hAnsi="微软雅黑"/>
          <w:color w:val="000000"/>
          <w:szCs w:val="21"/>
        </w:rPr>
        <w:t>文化与制度宣传</w:t>
      </w:r>
      <w:r>
        <w:rPr>
          <w:rFonts w:hint="eastAsia" w:ascii="微软雅黑" w:hAnsi="微软雅黑"/>
          <w:color w:val="000000"/>
          <w:szCs w:val="21"/>
        </w:rPr>
        <w:t>平台；建立</w:t>
      </w:r>
      <w:r>
        <w:rPr>
          <w:rFonts w:ascii="微软雅黑" w:hAnsi="微软雅黑"/>
          <w:color w:val="000000"/>
          <w:szCs w:val="21"/>
        </w:rPr>
        <w:t>移动办公</w:t>
      </w:r>
      <w:r>
        <w:rPr>
          <w:rFonts w:hint="eastAsia" w:ascii="微软雅黑" w:hAnsi="微软雅黑"/>
          <w:color w:val="000000"/>
          <w:szCs w:val="21"/>
        </w:rPr>
        <w:t>平台，</w:t>
      </w:r>
      <w:r>
        <w:rPr>
          <w:rFonts w:ascii="微软雅黑" w:hAnsi="微软雅黑"/>
          <w:color w:val="000000"/>
          <w:szCs w:val="21"/>
        </w:rPr>
        <w:t>提升企业整体办公效率，真正做到信息化</w:t>
      </w:r>
      <w:r>
        <w:rPr>
          <w:rFonts w:hint="eastAsia" w:ascii="微软雅黑" w:hAnsi="微软雅黑"/>
          <w:color w:val="000000"/>
          <w:szCs w:val="21"/>
        </w:rPr>
        <w:t>办公。从2015年10月上线至12月，</w:t>
      </w:r>
      <w:r>
        <w:rPr>
          <w:rFonts w:ascii="微软雅黑" w:hAnsi="微软雅黑"/>
          <w:color w:val="000000"/>
          <w:szCs w:val="21"/>
        </w:rPr>
        <w:t>用户数</w:t>
      </w:r>
      <w:r>
        <w:rPr>
          <w:rFonts w:hint="eastAsia" w:ascii="微软雅黑" w:hAnsi="微软雅黑"/>
          <w:color w:val="000000"/>
          <w:szCs w:val="21"/>
        </w:rPr>
        <w:t>量已经增至1010人，日常</w:t>
      </w:r>
      <w:r>
        <w:rPr>
          <w:rFonts w:ascii="微软雅黑" w:hAnsi="微软雅黑"/>
          <w:color w:val="000000"/>
          <w:szCs w:val="21"/>
        </w:rPr>
        <w:t>在线人数</w:t>
      </w:r>
      <w:r>
        <w:rPr>
          <w:rFonts w:hint="eastAsia" w:ascii="微软雅黑" w:hAnsi="微软雅黑"/>
          <w:color w:val="000000"/>
          <w:szCs w:val="21"/>
        </w:rPr>
        <w:t>约200人。</w:t>
      </w:r>
    </w:p>
    <w:p>
      <w:pPr>
        <w:spacing w:before="93" w:after="93"/>
        <w:ind w:firstLine="420"/>
        <w:jc w:val="center"/>
      </w:pPr>
    </w:p>
    <w:p>
      <w:pPr>
        <w:keepNext w:val="0"/>
        <w:keepLines w:val="0"/>
        <w:pageBreakBefore w:val="0"/>
        <w:widowControl w:val="0"/>
        <w:kinsoku/>
        <w:wordWrap/>
        <w:overflowPunct/>
        <w:topLinePunct w:val="0"/>
        <w:autoSpaceDE/>
        <w:autoSpaceDN/>
        <w:bidi w:val="0"/>
        <w:adjustRightInd w:val="0"/>
        <w:snapToGrid w:val="0"/>
        <w:spacing w:before="93" w:after="93" w:line="360" w:lineRule="auto"/>
        <w:ind w:firstLine="0" w:firstLineChars="0"/>
        <w:jc w:val="center"/>
        <w:textAlignment w:val="auto"/>
        <w:rPr>
          <w:rFonts w:hint="eastAsia"/>
        </w:rPr>
      </w:pPr>
      <w:r>
        <w:rPr>
          <w:rFonts w:hint="eastAsia"/>
        </w:rPr>
        <w:drawing>
          <wp:inline distT="0" distB="0" distL="0" distR="0">
            <wp:extent cx="4219575" cy="2599055"/>
            <wp:effectExtent l="9525" t="9525" r="19050" b="2032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225623" cy="2602886"/>
                    </a:xfrm>
                    <a:prstGeom prst="rect">
                      <a:avLst/>
                    </a:prstGeom>
                    <a:ln>
                      <a:solidFill>
                        <a:srgbClr val="EAEAEA"/>
                      </a:solidFill>
                    </a:ln>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Theme="minorEastAsia" w:hAnsiTheme="minorEastAsia" w:eastAsiaTheme="minorEastAsia"/>
          <w:sz w:val="21"/>
          <w:szCs w:val="21"/>
          <w:lang w:val="en-US" w:eastAsia="zh-CN"/>
        </w:rPr>
      </w:pPr>
      <w:r>
        <w:rPr>
          <w:rFonts w:hint="eastAsia" w:asciiTheme="minorEastAsia" w:hAnsiTheme="minorEastAsia" w:eastAsiaTheme="minorEastAsia"/>
          <w:sz w:val="21"/>
          <w:szCs w:val="21"/>
        </w:rPr>
        <w:t xml:space="preserve">图表 </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STYLEREF 2 \s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6.2</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SEQ 图表 \* ARABIC \s 2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1</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审批效率排名</w:t>
      </w:r>
    </w:p>
    <w:p>
      <w:pPr>
        <w:keepNext w:val="0"/>
        <w:keepLines w:val="0"/>
        <w:pageBreakBefore w:val="0"/>
        <w:widowControl w:val="0"/>
        <w:kinsoku/>
        <w:wordWrap/>
        <w:overflowPunct/>
        <w:topLinePunct w:val="0"/>
        <w:autoSpaceDE/>
        <w:autoSpaceDN/>
        <w:bidi w:val="0"/>
        <w:adjustRightInd w:val="0"/>
        <w:snapToGrid w:val="0"/>
        <w:spacing w:before="93" w:after="93" w:line="360" w:lineRule="auto"/>
        <w:ind w:firstLine="0" w:firstLineChars="0"/>
        <w:jc w:val="center"/>
        <w:textAlignment w:val="auto"/>
      </w:pPr>
      <w:r>
        <w:drawing>
          <wp:inline distT="0" distB="0" distL="0" distR="0">
            <wp:extent cx="4436745" cy="3124200"/>
            <wp:effectExtent l="9525" t="9525" r="11430"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443950" cy="3129264"/>
                    </a:xfrm>
                    <a:prstGeom prst="rect">
                      <a:avLst/>
                    </a:prstGeom>
                    <a:ln>
                      <a:solidFill>
                        <a:srgbClr val="EAEAEA"/>
                      </a:solidFill>
                    </a:ln>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heme="minorEastAsia" w:hAnsiTheme="minorEastAsia" w:eastAsiaTheme="minorEastAsia"/>
          <w:sz w:val="21"/>
          <w:szCs w:val="21"/>
          <w:lang w:val="en-US" w:eastAsia="zh-CN"/>
        </w:rPr>
      </w:pPr>
      <w:r>
        <w:rPr>
          <w:rFonts w:asciiTheme="minorEastAsia" w:hAnsiTheme="minorEastAsia" w:eastAsiaTheme="minorEastAsia"/>
          <w:sz w:val="21"/>
          <w:szCs w:val="21"/>
        </w:rPr>
        <w:t xml:space="preserve">图表 </w:t>
      </w:r>
      <w:r>
        <w:rPr>
          <w:rFonts w:asciiTheme="minorEastAsia" w:hAnsiTheme="minorEastAsia" w:eastAsiaTheme="minorEastAsia"/>
          <w:sz w:val="21"/>
          <w:szCs w:val="21"/>
        </w:rPr>
        <w:fldChar w:fldCharType="begin"/>
      </w:r>
      <w:r>
        <w:rPr>
          <w:rFonts w:asciiTheme="minorEastAsia" w:hAnsiTheme="minorEastAsia" w:eastAsiaTheme="minorEastAsia"/>
          <w:sz w:val="21"/>
          <w:szCs w:val="21"/>
        </w:rPr>
        <w:instrText xml:space="preserve"> STYLEREF 2 \s </w:instrText>
      </w:r>
      <w:r>
        <w:rPr>
          <w:rFonts w:asciiTheme="minorEastAsia" w:hAnsiTheme="minorEastAsia" w:eastAsiaTheme="minorEastAsia"/>
          <w:sz w:val="21"/>
          <w:szCs w:val="21"/>
        </w:rPr>
        <w:fldChar w:fldCharType="separate"/>
      </w:r>
      <w:r>
        <w:rPr>
          <w:rFonts w:asciiTheme="minorEastAsia" w:hAnsiTheme="minorEastAsia" w:eastAsiaTheme="minorEastAsia"/>
          <w:sz w:val="21"/>
          <w:szCs w:val="21"/>
        </w:rPr>
        <w:t>6.2</w:t>
      </w:r>
      <w:r>
        <w:rPr>
          <w:rFonts w:asciiTheme="minorEastAsia" w:hAnsiTheme="minorEastAsia" w:eastAsiaTheme="minorEastAsia"/>
          <w:sz w:val="21"/>
          <w:szCs w:val="21"/>
        </w:rPr>
        <w:fldChar w:fldCharType="end"/>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rPr>
        <w:fldChar w:fldCharType="begin"/>
      </w:r>
      <w:r>
        <w:rPr>
          <w:rFonts w:asciiTheme="minorEastAsia" w:hAnsiTheme="minorEastAsia" w:eastAsiaTheme="minorEastAsia"/>
          <w:sz w:val="21"/>
          <w:szCs w:val="21"/>
        </w:rPr>
        <w:instrText xml:space="preserve"> SEQ 图表 \* ARABIC \s 2 </w:instrText>
      </w:r>
      <w:r>
        <w:rPr>
          <w:rFonts w:asciiTheme="minorEastAsia" w:hAnsiTheme="minorEastAsia" w:eastAsiaTheme="minorEastAsia"/>
          <w:sz w:val="21"/>
          <w:szCs w:val="21"/>
        </w:rPr>
        <w:fldChar w:fldCharType="separate"/>
      </w:r>
      <w:r>
        <w:rPr>
          <w:rFonts w:asciiTheme="minorEastAsia" w:hAnsiTheme="minorEastAsia" w:eastAsiaTheme="minorEastAsia"/>
          <w:sz w:val="21"/>
          <w:szCs w:val="21"/>
        </w:rPr>
        <w:t>2</w:t>
      </w:r>
      <w:r>
        <w:rPr>
          <w:rFonts w:asciiTheme="minorEastAsia" w:hAnsiTheme="minorEastAsia" w:eastAsiaTheme="minorEastAsia"/>
          <w:sz w:val="21"/>
          <w:szCs w:val="21"/>
        </w:rPr>
        <w:fldChar w:fldCharType="end"/>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流程</w:t>
      </w:r>
      <w:r>
        <w:rPr>
          <w:rFonts w:asciiTheme="minorEastAsia" w:hAnsiTheme="minorEastAsia" w:eastAsiaTheme="minorEastAsia"/>
          <w:sz w:val="21"/>
          <w:szCs w:val="21"/>
        </w:rPr>
        <w:t>耗时排名</w:t>
      </w:r>
    </w:p>
    <w:p>
      <w:pPr>
        <w:spacing w:before="93" w:after="93"/>
        <w:ind w:firstLine="420" w:firstLineChars="0"/>
        <w:rPr>
          <w:rFonts w:hint="eastAsia"/>
        </w:rPr>
      </w:pPr>
      <w:r>
        <w:rPr>
          <w:rFonts w:hint="eastAsia"/>
        </w:rPr>
        <w:t>通过流程耗时排名分析流程，解决原有流程中的顽疾。审批启用OA线上审批后，部分审批因领导工作繁忙等原因影响了个别流程。通过定期统计，强化审批意识，</w:t>
      </w:r>
      <w:r>
        <w:t>建立审批制度，规约中高层领导审批</w:t>
      </w:r>
      <w:r>
        <w:rPr>
          <w:rFonts w:hint="eastAsia"/>
        </w:rPr>
        <w:t>工作，进而优化流程。这是工作流提升企业工作效率的实例。</w:t>
      </w:r>
    </w:p>
    <w:p>
      <w:pPr>
        <w:spacing w:before="93" w:after="93"/>
        <w:ind w:left="0" w:leftChars="0" w:firstLine="0" w:firstLineChars="0"/>
        <w:rPr>
          <w:rFonts w:hint="eastAsia"/>
        </w:rPr>
      </w:pPr>
    </w:p>
    <w:p>
      <w:pPr>
        <w:pStyle w:val="4"/>
        <w:bidi w:val="0"/>
        <w:ind w:left="425" w:leftChars="0" w:firstLineChars="0"/>
        <w:rPr>
          <w:b/>
        </w:rPr>
      </w:pPr>
      <w:bookmarkStart w:id="54" w:name="_Toc22783"/>
      <w:r>
        <w:rPr>
          <w:rFonts w:hint="eastAsia"/>
          <w:b/>
        </w:rPr>
        <w:t>金融服务企业审批流程管理案例</w:t>
      </w:r>
      <w:bookmarkEnd w:id="54"/>
    </w:p>
    <w:p>
      <w:pPr>
        <w:spacing w:before="93" w:after="93"/>
        <w:ind w:firstLine="420" w:firstLineChars="0"/>
        <w:rPr>
          <w:rFonts w:hint="eastAsia"/>
        </w:rPr>
      </w:pPr>
      <w:r>
        <w:rPr>
          <w:rFonts w:hint="eastAsia"/>
          <w:lang w:val="en-US" w:eastAsia="zh-CN"/>
        </w:rPr>
        <w:t>某</w:t>
      </w:r>
      <w:r>
        <w:rPr>
          <w:rFonts w:hint="eastAsia"/>
        </w:rPr>
        <w:t>金融服务企业，是一家集财富管理、信用风险评估与管理、信用数据整合服务、小微贷款咨询服务与交易促成平台服务等业务于一体</w:t>
      </w:r>
      <w:r>
        <w:rPr>
          <w:rFonts w:hint="eastAsia"/>
        </w:rPr>
        <w:t>的金融服务企业，</w:t>
      </w:r>
      <w:r>
        <w:rPr>
          <w:rFonts w:hint="eastAsia"/>
        </w:rPr>
        <w:t>能够提供综合性资金解决方案。</w:t>
      </w:r>
      <w:r>
        <w:rPr>
          <w:rFonts w:hint="eastAsia"/>
        </w:rPr>
        <w:t>本次项目的目标是通过双方合作建立一套单位内部使用的OA</w:t>
      </w:r>
      <w:r>
        <w:rPr>
          <w:rFonts w:hint="eastAsia"/>
        </w:rPr>
        <w:t>平台，实施上线约500</w:t>
      </w:r>
      <w:r>
        <w:rPr>
          <w:rFonts w:hint="eastAsia"/>
        </w:rPr>
        <w:t>个流程，其中包括费用申请、费用报销、借款、用印、会签等流程，能够实现文档归档整理、信息发布、移动端审核及数据查询等一系列高级功能。</w:t>
      </w:r>
    </w:p>
    <w:p>
      <w:pPr>
        <w:spacing w:before="93" w:after="93"/>
        <w:ind w:firstLine="420" w:firstLineChars="0"/>
        <w:rPr>
          <w:rFonts w:hint="eastAsia"/>
        </w:rPr>
      </w:pPr>
      <w:r>
        <w:rPr>
          <w:rFonts w:hint="eastAsia"/>
        </w:rPr>
        <w:t>部分审批流程展示：</w:t>
      </w:r>
    </w:p>
    <w:p>
      <w:pPr>
        <w:keepNext w:val="0"/>
        <w:keepLines w:val="0"/>
        <w:pageBreakBefore w:val="0"/>
        <w:widowControl w:val="0"/>
        <w:kinsoku/>
        <w:wordWrap/>
        <w:overflowPunct/>
        <w:topLinePunct w:val="0"/>
        <w:autoSpaceDE/>
        <w:autoSpaceDN/>
        <w:bidi w:val="0"/>
        <w:adjustRightInd w:val="0"/>
        <w:snapToGrid w:val="0"/>
        <w:spacing w:before="93" w:after="93"/>
        <w:ind w:firstLine="0" w:firstLineChars="0"/>
        <w:jc w:val="center"/>
        <w:textAlignment w:val="auto"/>
        <w:rPr>
          <w:rFonts w:ascii="宋体" w:cs="宋体"/>
          <w:sz w:val="22"/>
        </w:rPr>
      </w:pPr>
      <w:r>
        <w:rPr>
          <w:rFonts w:ascii="宋体" w:cs="宋体"/>
          <w:sz w:val="22"/>
        </w:rPr>
        <w:drawing>
          <wp:inline distT="0" distB="0" distL="0" distR="0">
            <wp:extent cx="5477510" cy="2346325"/>
            <wp:effectExtent l="9525" t="9525" r="18415" b="25400"/>
            <wp:docPr id="14" name="图片 14" descr="费用申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费用申请"/>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5477510" cy="2346325"/>
                    </a:xfrm>
                    <a:prstGeom prst="rect">
                      <a:avLst/>
                    </a:prstGeom>
                    <a:noFill/>
                    <a:ln>
                      <a:solidFill>
                        <a:srgbClr val="EAEAEA"/>
                      </a:solidFill>
                    </a:ln>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rPr>
        <w:t xml:space="preserve">图表 </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STYLEREF 2 \s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6.3</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SEQ 图表 \* ARABIC \s 2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1</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费用申请流程</w:t>
      </w:r>
    </w:p>
    <w:p>
      <w:pPr>
        <w:pStyle w:val="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heme="minorEastAsia" w:hAnsiTheme="minorEastAsia" w:eastAsiaTheme="minorEastAsia"/>
          <w:sz w:val="21"/>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before="93" w:after="93"/>
        <w:ind w:firstLine="0" w:firstLineChars="0"/>
        <w:jc w:val="center"/>
        <w:textAlignment w:val="auto"/>
        <w:rPr>
          <w:rFonts w:ascii="宋体" w:cs="宋体"/>
          <w:sz w:val="22"/>
        </w:rPr>
      </w:pPr>
      <w:r>
        <w:rPr>
          <w:rFonts w:hint="eastAsia" w:ascii="宋体" w:cs="宋体"/>
          <w:sz w:val="22"/>
          <w:lang w:val="en-US" w:eastAsia="zh-CN"/>
        </w:rPr>
        <w:t xml:space="preserve">  </w:t>
      </w:r>
      <w:r>
        <w:rPr>
          <w:rFonts w:ascii="宋体" w:cs="宋体"/>
          <w:sz w:val="22"/>
        </w:rPr>
        <w:drawing>
          <wp:inline distT="0" distB="0" distL="0" distR="0">
            <wp:extent cx="4312920" cy="4485640"/>
            <wp:effectExtent l="9525" t="9525" r="20955" b="19685"/>
            <wp:docPr id="15" name="图片 1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4312920" cy="4485640"/>
                    </a:xfrm>
                    <a:prstGeom prst="rect">
                      <a:avLst/>
                    </a:prstGeom>
                    <a:noFill/>
                    <a:ln>
                      <a:solidFill>
                        <a:srgbClr val="EAEAEA"/>
                      </a:solidFill>
                    </a:ln>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图表 </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STYLEREF 2 \s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6.3</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SEQ 图表 \* ARABIC \s 2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2</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费用申请单样式</w:t>
      </w:r>
    </w:p>
    <w:p>
      <w:pPr>
        <w:keepNext w:val="0"/>
        <w:keepLines w:val="0"/>
        <w:pageBreakBefore w:val="0"/>
        <w:widowControl w:val="0"/>
        <w:kinsoku/>
        <w:wordWrap/>
        <w:overflowPunct/>
        <w:topLinePunct w:val="0"/>
        <w:autoSpaceDE/>
        <w:autoSpaceDN/>
        <w:bidi w:val="0"/>
        <w:adjustRightInd w:val="0"/>
        <w:snapToGrid w:val="0"/>
        <w:spacing w:before="93" w:after="93"/>
        <w:ind w:firstLine="0" w:firstLineChars="0"/>
        <w:jc w:val="center"/>
        <w:textAlignment w:val="auto"/>
        <w:rPr>
          <w:rFonts w:hint="eastAsia" w:ascii="宋体" w:cs="宋体"/>
        </w:rPr>
      </w:pPr>
      <w:r>
        <w:rPr>
          <w:rFonts w:hint="eastAsia" w:ascii="宋体" w:cs="宋体"/>
        </w:rPr>
        <w:drawing>
          <wp:inline distT="0" distB="0" distL="0" distR="0">
            <wp:extent cx="4312920" cy="4994910"/>
            <wp:effectExtent l="9525" t="9525" r="20955" b="24765"/>
            <wp:docPr id="16" name="图片 1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4312920" cy="4994910"/>
                    </a:xfrm>
                    <a:prstGeom prst="rect">
                      <a:avLst/>
                    </a:prstGeom>
                    <a:noFill/>
                    <a:ln>
                      <a:solidFill>
                        <a:srgbClr val="EAEAEA"/>
                      </a:solidFill>
                    </a:ln>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rPr>
        <w:t xml:space="preserve">图表 </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STYLEREF 2 \s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6.3</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SEQ 图表 \* ARABIC \s 2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3</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费用报销单样式</w:t>
      </w:r>
    </w:p>
    <w:p>
      <w:pPr>
        <w:keepNext w:val="0"/>
        <w:keepLines w:val="0"/>
        <w:pageBreakBefore w:val="0"/>
        <w:widowControl w:val="0"/>
        <w:kinsoku/>
        <w:wordWrap/>
        <w:overflowPunct/>
        <w:topLinePunct w:val="0"/>
        <w:autoSpaceDE/>
        <w:autoSpaceDN/>
        <w:bidi w:val="0"/>
        <w:adjustRightInd w:val="0"/>
        <w:snapToGrid w:val="0"/>
        <w:spacing w:before="93" w:after="93"/>
        <w:ind w:firstLine="0" w:firstLineChars="0"/>
        <w:jc w:val="center"/>
        <w:textAlignment w:val="auto"/>
        <w:rPr>
          <w:rFonts w:cs="Book Antiqua"/>
        </w:rPr>
      </w:pPr>
      <w:r>
        <w:rPr>
          <w:rFonts w:cs="Book Antiqua"/>
        </w:rPr>
        <w:drawing>
          <wp:inline distT="0" distB="0" distL="0" distR="0">
            <wp:extent cx="5486400" cy="3450590"/>
            <wp:effectExtent l="9525" t="9525" r="9525" b="26035"/>
            <wp:docPr id="17" name="图片 1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5486400" cy="3450590"/>
                    </a:xfrm>
                    <a:prstGeom prst="rect">
                      <a:avLst/>
                    </a:prstGeom>
                    <a:noFill/>
                    <a:ln>
                      <a:solidFill>
                        <a:srgbClr val="EAEAEA"/>
                      </a:solidFill>
                    </a:ln>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微软雅黑" w:hAnsi="微软雅黑"/>
          <w:color w:val="000000"/>
          <w:szCs w:val="21"/>
        </w:rPr>
      </w:pPr>
      <w:r>
        <w:rPr>
          <w:rFonts w:hint="eastAsia" w:asciiTheme="minorEastAsia" w:hAnsiTheme="minorEastAsia" w:eastAsiaTheme="minorEastAsia" w:cstheme="minorEastAsia"/>
          <w:sz w:val="21"/>
          <w:szCs w:val="21"/>
          <w:lang w:val="en-US" w:eastAsia="zh-CN"/>
        </w:rPr>
        <w:t xml:space="preserve">图表 </w:t>
      </w:r>
      <w:r>
        <w:rPr>
          <w:rFonts w:hint="eastAsia" w:asciiTheme="minorEastAsia" w:hAnsiTheme="minorEastAsia" w:eastAsiaTheme="minorEastAsia" w:cstheme="minorEastAsia"/>
          <w:sz w:val="21"/>
          <w:szCs w:val="21"/>
          <w:lang w:val="en-US" w:eastAsia="zh-CN"/>
        </w:rPr>
        <w:fldChar w:fldCharType="begin"/>
      </w:r>
      <w:r>
        <w:rPr>
          <w:rFonts w:hint="eastAsia" w:asciiTheme="minorEastAsia" w:hAnsiTheme="minorEastAsia" w:eastAsiaTheme="minorEastAsia" w:cstheme="minorEastAsia"/>
          <w:sz w:val="21"/>
          <w:szCs w:val="21"/>
          <w:lang w:val="en-US" w:eastAsia="zh-CN"/>
        </w:rPr>
        <w:instrText xml:space="preserve"> STYLEREF 2 \s </w:instrText>
      </w:r>
      <w:r>
        <w:rPr>
          <w:rFonts w:hint="eastAsia" w:asciiTheme="minorEastAsia" w:hAnsiTheme="minorEastAsia" w:eastAsiaTheme="minorEastAsia" w:cstheme="minorEastAsia"/>
          <w:sz w:val="21"/>
          <w:szCs w:val="21"/>
          <w:lang w:val="en-US" w:eastAsia="zh-CN"/>
        </w:rPr>
        <w:fldChar w:fldCharType="separate"/>
      </w:r>
      <w:r>
        <w:rPr>
          <w:rFonts w:hint="eastAsia" w:asciiTheme="minorEastAsia" w:hAnsiTheme="minorEastAsia" w:eastAsiaTheme="minorEastAsia" w:cstheme="minorEastAsia"/>
          <w:sz w:val="21"/>
          <w:szCs w:val="21"/>
          <w:lang w:val="en-US" w:eastAsia="zh-CN"/>
        </w:rPr>
        <w:t>6.3</w:t>
      </w:r>
      <w:r>
        <w:rPr>
          <w:rFonts w:hint="eastAsia" w:asciiTheme="minorEastAsia" w:hAnsiTheme="minorEastAsia" w:eastAsiaTheme="minorEastAsia" w:cstheme="minorEastAsia"/>
          <w:sz w:val="21"/>
          <w:szCs w:val="21"/>
          <w:lang w:val="en-US" w:eastAsia="zh-CN"/>
        </w:rPr>
        <w:fldChar w:fldCharType="end"/>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fldChar w:fldCharType="begin"/>
      </w:r>
      <w:r>
        <w:rPr>
          <w:rFonts w:hint="eastAsia" w:asciiTheme="minorEastAsia" w:hAnsiTheme="minorEastAsia" w:eastAsiaTheme="minorEastAsia" w:cstheme="minorEastAsia"/>
          <w:sz w:val="21"/>
          <w:szCs w:val="21"/>
          <w:lang w:val="en-US" w:eastAsia="zh-CN"/>
        </w:rPr>
        <w:instrText xml:space="preserve"> SEQ 图表 \* ARABIC \s 2 </w:instrText>
      </w:r>
      <w:r>
        <w:rPr>
          <w:rFonts w:hint="eastAsia" w:asciiTheme="minorEastAsia" w:hAnsiTheme="minorEastAsia" w:eastAsiaTheme="minorEastAsia" w:cstheme="minorEastAsia"/>
          <w:sz w:val="21"/>
          <w:szCs w:val="21"/>
          <w:lang w:val="en-US" w:eastAsia="zh-CN"/>
        </w:rPr>
        <w:fldChar w:fldCharType="separate"/>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lang w:val="en-US" w:eastAsia="zh-CN"/>
        </w:rPr>
        <w:fldChar w:fldCharType="end"/>
      </w:r>
      <w:r>
        <w:rPr>
          <w:rFonts w:hint="eastAsia" w:asciiTheme="minorEastAsia" w:hAnsiTheme="minorEastAsia" w:eastAsiaTheme="minorEastAsia" w:cstheme="minorEastAsia"/>
          <w:sz w:val="21"/>
          <w:szCs w:val="21"/>
          <w:lang w:val="en-US" w:eastAsia="zh-CN"/>
        </w:rPr>
        <w:t xml:space="preserve">  出差申请单</w:t>
      </w:r>
      <w:bookmarkStart w:id="55" w:name="_GoBack"/>
      <w:bookmarkEnd w:id="55"/>
    </w:p>
    <w:sectPr>
      <w:type w:val="continuous"/>
      <w:pgSz w:w="11906" w:h="16838"/>
      <w:pgMar w:top="1559" w:right="896" w:bottom="777" w:left="89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幼圆">
    <w:altName w:val="宋体"/>
    <w:panose1 w:val="02010509060101010101"/>
    <w:charset w:val="86"/>
    <w:family w:val="modern"/>
    <w:pitch w:val="default"/>
    <w:sig w:usb0="00000000" w:usb1="00000000" w:usb2="00000000" w:usb3="00000000" w:csb0="00040000" w:csb1="00000000"/>
  </w:font>
  <w:font w:name="MS Reference Sans Serif">
    <w:altName w:val="Verdana"/>
    <w:panose1 w:val="020B0604030504040204"/>
    <w:charset w:val="00"/>
    <w:family w:val="swiss"/>
    <w:pitch w:val="default"/>
    <w:sig w:usb0="00000000" w:usb1="00000000" w:usb2="00000000" w:usb3="00000000" w:csb0="2000019F" w:csb1="0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auto"/>
    <w:pitch w:val="default"/>
    <w:sig w:usb0="80000287" w:usb1="2ACF3C50" w:usb2="00000016" w:usb3="00000000" w:csb0="0004001F" w:csb1="00000000"/>
  </w:font>
  <w:font w:name="Book Antiqua">
    <w:altName w:val="Segoe Print"/>
    <w:panose1 w:val="02040602050305030304"/>
    <w:charset w:val="00"/>
    <w:family w:val="roman"/>
    <w:pitch w:val="default"/>
    <w:sig w:usb0="00000000" w:usb1="00000000" w:usb2="00000000" w:usb3="00000000" w:csb0="2000009F" w:csb1="DFD70000"/>
  </w:font>
  <w:font w:name="Verdana">
    <w:panose1 w:val="020B0604030504040204"/>
    <w:charset w:val="00"/>
    <w:family w:val="auto"/>
    <w:pitch w:val="default"/>
    <w:sig w:usb0="A00006FF" w:usb1="4000205B" w:usb2="00000010" w:usb3="00000000" w:csb0="2000019F" w:csb1="00000000"/>
  </w:font>
  <w:font w:name="Arial">
    <w:panose1 w:val="020B0604020202020204"/>
    <w:charset w:val="00"/>
    <w:family w:val="auto"/>
    <w:pitch w:val="default"/>
    <w:sig w:usb0="E0002EFF" w:usb1="C000785B" w:usb2="00000009" w:usb3="00000000" w:csb0="4000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before="72" w:after="72"/>
      <w:ind w:firstLine="360"/>
      <w:rPr>
        <w:rFonts w:ascii="MS Reference Sans Serif" w:hAnsi="MS Reference Sans Serif" w:cs="MS Reference Sans Serif"/>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before="72" w:after="7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before="72" w:after="7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single" w:color="BEBEBE" w:themeColor="background1" w:themeShade="BF" w:sz="4" w:space="1"/>
      </w:pBdr>
      <w:spacing w:before="72" w:after="72"/>
      <w:ind w:firstLine="260"/>
      <w:jc w:val="right"/>
      <w:rPr>
        <w:rFonts w:cs="Arial"/>
        <w:position w:val="30"/>
      </w:rPr>
    </w:pPr>
    <w:r>
      <w:rPr>
        <w:rFonts w:hint="eastAsia" w:ascii="微软雅黑" w:hAnsi="微软雅黑" w:cs="MS Reference Sans Serif"/>
        <w:sz w:val="13"/>
      </w:rPr>
      <w:t xml:space="preserve">网址(WEB)：http://www.oa8000.com </w:t>
    </w:r>
    <w:r>
      <w:rPr>
        <w:rFonts w:hint="eastAsia" w:ascii="微软雅黑" w:hAnsi="微软雅黑" w:cs="MS Reference Sans Serif"/>
        <w:color w:val="FF0000"/>
        <w:sz w:val="13"/>
      </w:rPr>
      <w:t xml:space="preserve"> |  </w:t>
    </w:r>
    <w:r>
      <w:rPr>
        <w:rFonts w:hint="eastAsia" w:ascii="微软雅黑" w:hAnsi="微软雅黑" w:cs="MS Reference Sans Serif"/>
        <w:sz w:val="13"/>
      </w:rPr>
      <w:t xml:space="preserve"> 电话(TEL)：400-609-0086</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before="72" w:after="72"/>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before="72" w:after="72"/>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single" w:color="BEBEBE" w:themeColor="background1" w:themeShade="BF" w:sz="4" w:space="1"/>
      </w:pBdr>
      <w:spacing w:before="72" w:after="72"/>
      <w:ind w:firstLine="260"/>
      <w:jc w:val="right"/>
      <w:rPr>
        <w:rFonts w:ascii="微软雅黑" w:hAnsi="微软雅黑" w:cs="MS Reference Sans Serif"/>
        <w:sz w:val="13"/>
      </w:rPr>
    </w:pPr>
    <w:r>
      <w:rPr>
        <w:sz w:val="13"/>
      </w:rPr>
      <w:pict>
        <v:shape id="_x0000_s4097" o:spid="_x0000_s4097" o:spt="202" type="#_x0000_t202" style="position:absolute;left:0pt;margin-top:17.25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11"/>
                  <w:spacing w:before="72" w:after="72"/>
                  <w:ind w:firstLine="360"/>
                </w:pPr>
                <w:r>
                  <w:t xml:space="preserve">— </w:t>
                </w:r>
                <w:r>
                  <w:fldChar w:fldCharType="begin"/>
                </w:r>
                <w:r>
                  <w:instrText xml:space="preserve"> PAGE  \* MERGEFORMAT </w:instrText>
                </w:r>
                <w:r>
                  <w:fldChar w:fldCharType="separate"/>
                </w:r>
                <w:r>
                  <w:t>I</w:t>
                </w:r>
                <w:r>
                  <w:fldChar w:fldCharType="end"/>
                </w:r>
                <w:r>
                  <w:t xml:space="preserve"> —</w:t>
                </w:r>
              </w:p>
            </w:txbxContent>
          </v:textbox>
        </v:shape>
      </w:pict>
    </w:r>
    <w:r>
      <w:rPr>
        <w:rFonts w:hint="eastAsia" w:ascii="微软雅黑" w:hAnsi="微软雅黑" w:cs="MS Reference Sans Serif"/>
        <w:sz w:val="13"/>
      </w:rPr>
      <w:t xml:space="preserve">网址(WEB)：http://www.oa8000.com </w:t>
    </w:r>
    <w:r>
      <w:rPr>
        <w:rFonts w:hint="eastAsia" w:ascii="微软雅黑" w:hAnsi="微软雅黑" w:cs="MS Reference Sans Serif"/>
        <w:color w:val="FF0000"/>
        <w:sz w:val="13"/>
      </w:rPr>
      <w:t xml:space="preserve"> |  </w:t>
    </w:r>
    <w:r>
      <w:rPr>
        <w:rFonts w:hint="eastAsia" w:ascii="微软雅黑" w:hAnsi="微软雅黑" w:cs="MS Reference Sans Serif"/>
        <w:sz w:val="13"/>
      </w:rPr>
      <w:t xml:space="preserve"> 电话(TEL)：400-609-0086</w:t>
    </w:r>
  </w:p>
  <w:p>
    <w:pPr>
      <w:pStyle w:val="11"/>
      <w:pBdr>
        <w:top w:val="single" w:color="BEBEBE" w:themeColor="background1" w:themeShade="BF" w:sz="4" w:space="1"/>
      </w:pBdr>
      <w:spacing w:before="72" w:after="72"/>
      <w:ind w:firstLine="260"/>
      <w:jc w:val="right"/>
      <w:rPr>
        <w:rFonts w:ascii="微软雅黑" w:hAnsi="微软雅黑" w:cs="MS Reference Sans Serif"/>
        <w:sz w:val="13"/>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spacing w:before="72" w:after="72"/>
      <w:ind w:firstLine="0" w:firstLineChars="0"/>
      <w:jc w:val="both"/>
    </w:pPr>
    <w:r>
      <w:drawing>
        <wp:inline distT="0" distB="0" distL="0" distR="0">
          <wp:extent cx="6422390" cy="339090"/>
          <wp:effectExtent l="0" t="0" r="0" b="0"/>
          <wp:docPr id="1" name="图片 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png"/>
                  <pic:cNvPicPr>
                    <a:picLocks noChangeAspect="1"/>
                  </pic:cNvPicPr>
                </pic:nvPicPr>
                <pic:blipFill>
                  <a:blip r:embed="rId1"/>
                  <a:stretch>
                    <a:fillRect/>
                  </a:stretch>
                </pic:blipFill>
                <pic:spPr>
                  <a:xfrm>
                    <a:off x="0" y="0"/>
                    <a:ext cx="6422390" cy="33909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before="72" w:after="7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before="72" w:after="72"/>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spacing w:before="72" w:after="72"/>
      <w:ind w:firstLine="0" w:firstLineChars="0"/>
      <w:jc w:val="both"/>
    </w:pPr>
    <w:r>
      <w:drawing>
        <wp:inline distT="0" distB="0" distL="0" distR="0">
          <wp:extent cx="6422390" cy="339090"/>
          <wp:effectExtent l="0" t="0" r="16510" b="3810"/>
          <wp:docPr id="60" name="图片 60"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1.png"/>
                  <pic:cNvPicPr>
                    <a:picLocks noChangeAspect="1"/>
                  </pic:cNvPicPr>
                </pic:nvPicPr>
                <pic:blipFill>
                  <a:blip r:embed="rId1"/>
                  <a:stretch>
                    <a:fillRect/>
                  </a:stretch>
                </pic:blipFill>
                <pic:spPr>
                  <a:xfrm>
                    <a:off x="0" y="0"/>
                    <a:ext cx="6422390" cy="339090"/>
                  </a:xfrm>
                  <a:prstGeom prst="rect">
                    <a:avLst/>
                  </a:prstGeom>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before="72" w:after="72"/>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before="72" w:after="7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966D8"/>
    <w:multiLevelType w:val="multilevel"/>
    <w:tmpl w:val="1D7966D8"/>
    <w:lvl w:ilvl="0" w:tentative="0">
      <w:start w:val="1"/>
      <w:numFmt w:val="bullet"/>
      <w:pStyle w:val="33"/>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23896803"/>
    <w:multiLevelType w:val="multilevel"/>
    <w:tmpl w:val="23896803"/>
    <w:lvl w:ilvl="0" w:tentative="0">
      <w:start w:val="1"/>
      <w:numFmt w:val="decimal"/>
      <w:pStyle w:val="2"/>
      <w:suff w:val="space"/>
      <w:lvlText w:val="PART%1 "/>
      <w:lvlJc w:val="left"/>
      <w:pPr>
        <w:ind w:left="2127" w:hanging="425"/>
      </w:pPr>
      <w:rPr>
        <w:rFonts w:hint="eastAsia"/>
      </w:rPr>
    </w:lvl>
    <w:lvl w:ilvl="1" w:tentative="0">
      <w:start w:val="1"/>
      <w:numFmt w:val="decimal"/>
      <w:pStyle w:val="4"/>
      <w:suff w:val="space"/>
      <w:lvlText w:val="%1.%2"/>
      <w:lvlJc w:val="left"/>
      <w:pPr>
        <w:ind w:left="425" w:firstLine="0"/>
      </w:pPr>
      <w:rPr>
        <w:rFonts w:hint="eastAsia"/>
      </w:rPr>
    </w:lvl>
    <w:lvl w:ilvl="2" w:tentative="0">
      <w:start w:val="1"/>
      <w:numFmt w:val="decimal"/>
      <w:pStyle w:val="5"/>
      <w:suff w:val="space"/>
      <w:lvlText w:val="%1.%2.%3"/>
      <w:lvlJc w:val="left"/>
      <w:pPr>
        <w:ind w:left="425" w:firstLine="0"/>
      </w:pPr>
      <w:rPr>
        <w:rFonts w:hint="eastAsia"/>
      </w:rPr>
    </w:lvl>
    <w:lvl w:ilvl="3" w:tentative="0">
      <w:start w:val="1"/>
      <w:numFmt w:val="decimal"/>
      <w:lvlText w:val="%1.%2.%3.%4"/>
      <w:lvlJc w:val="left"/>
      <w:pPr>
        <w:ind w:left="2409" w:hanging="708"/>
      </w:pPr>
      <w:rPr>
        <w:rFonts w:hint="eastAsia"/>
      </w:rPr>
    </w:lvl>
    <w:lvl w:ilvl="4" w:tentative="0">
      <w:start w:val="1"/>
      <w:numFmt w:val="decimal"/>
      <w:lvlText w:val="%1.%2.%3.%4.%5"/>
      <w:lvlJc w:val="left"/>
      <w:pPr>
        <w:ind w:left="2976" w:hanging="850"/>
      </w:pPr>
      <w:rPr>
        <w:rFonts w:hint="eastAsia"/>
      </w:rPr>
    </w:lvl>
    <w:lvl w:ilvl="5" w:tentative="0">
      <w:start w:val="1"/>
      <w:numFmt w:val="decimal"/>
      <w:lvlText w:val="%1.%2.%3.%4.%5.%6"/>
      <w:lvlJc w:val="left"/>
      <w:pPr>
        <w:ind w:left="3685" w:hanging="1134"/>
      </w:pPr>
      <w:rPr>
        <w:rFonts w:hint="eastAsia"/>
      </w:rPr>
    </w:lvl>
    <w:lvl w:ilvl="6" w:tentative="0">
      <w:start w:val="1"/>
      <w:numFmt w:val="decimal"/>
      <w:lvlText w:val="%1.%2.%3.%4.%5.%6.%7"/>
      <w:lvlJc w:val="left"/>
      <w:pPr>
        <w:ind w:left="4252" w:hanging="1276"/>
      </w:pPr>
      <w:rPr>
        <w:rFonts w:hint="eastAsia"/>
      </w:rPr>
    </w:lvl>
    <w:lvl w:ilvl="7" w:tentative="0">
      <w:start w:val="1"/>
      <w:numFmt w:val="decimal"/>
      <w:lvlText w:val="%1.%2.%3.%4.%5.%6.%7.%8"/>
      <w:lvlJc w:val="left"/>
      <w:pPr>
        <w:ind w:left="4819" w:hanging="1418"/>
      </w:pPr>
      <w:rPr>
        <w:rFonts w:hint="eastAsia"/>
      </w:rPr>
    </w:lvl>
    <w:lvl w:ilvl="8" w:tentative="0">
      <w:start w:val="1"/>
      <w:numFmt w:val="decimal"/>
      <w:lvlText w:val="%1.%2.%3.%4.%5.%6.%7.%8.%9"/>
      <w:lvlJc w:val="left"/>
      <w:pPr>
        <w:ind w:left="5527" w:hanging="1700"/>
      </w:pPr>
      <w:rPr>
        <w:rFonts w:hint="eastAsia"/>
      </w:rPr>
    </w:lvl>
  </w:abstractNum>
  <w:abstractNum w:abstractNumId="2">
    <w:nsid w:val="731245A7"/>
    <w:multiLevelType w:val="multilevel"/>
    <w:tmpl w:val="731245A7"/>
    <w:lvl w:ilvl="0" w:tentative="0">
      <w:start w:val="1"/>
      <w:numFmt w:val="decimal"/>
      <w:pStyle w:val="32"/>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jc5ZjkyMDNhNDI0YmI0YWU4YWVmYjUwNjI1MTU5ZDgifQ=="/>
  </w:docVars>
  <w:rsids>
    <w:rsidRoot w:val="00172A27"/>
    <w:rsid w:val="00001832"/>
    <w:rsid w:val="0000520B"/>
    <w:rsid w:val="00005E02"/>
    <w:rsid w:val="000139E1"/>
    <w:rsid w:val="00015C98"/>
    <w:rsid w:val="00016305"/>
    <w:rsid w:val="00016755"/>
    <w:rsid w:val="000169BF"/>
    <w:rsid w:val="0001770E"/>
    <w:rsid w:val="000243C1"/>
    <w:rsid w:val="00024CFB"/>
    <w:rsid w:val="000255BA"/>
    <w:rsid w:val="00027698"/>
    <w:rsid w:val="00030038"/>
    <w:rsid w:val="00031040"/>
    <w:rsid w:val="00032120"/>
    <w:rsid w:val="00033304"/>
    <w:rsid w:val="00036583"/>
    <w:rsid w:val="00037AED"/>
    <w:rsid w:val="0004067A"/>
    <w:rsid w:val="00042D6C"/>
    <w:rsid w:val="00043E27"/>
    <w:rsid w:val="00045723"/>
    <w:rsid w:val="0004605B"/>
    <w:rsid w:val="0005061A"/>
    <w:rsid w:val="000512B2"/>
    <w:rsid w:val="000535C7"/>
    <w:rsid w:val="00054534"/>
    <w:rsid w:val="00056318"/>
    <w:rsid w:val="000615C9"/>
    <w:rsid w:val="0006333F"/>
    <w:rsid w:val="00065AA7"/>
    <w:rsid w:val="000668D8"/>
    <w:rsid w:val="00071D27"/>
    <w:rsid w:val="000725ED"/>
    <w:rsid w:val="0007350C"/>
    <w:rsid w:val="00074B36"/>
    <w:rsid w:val="00075087"/>
    <w:rsid w:val="00075BF0"/>
    <w:rsid w:val="00080108"/>
    <w:rsid w:val="0008693F"/>
    <w:rsid w:val="000901D3"/>
    <w:rsid w:val="000935F6"/>
    <w:rsid w:val="000966EF"/>
    <w:rsid w:val="000A02B9"/>
    <w:rsid w:val="000A0B3A"/>
    <w:rsid w:val="000A1E74"/>
    <w:rsid w:val="000A28A9"/>
    <w:rsid w:val="000A298D"/>
    <w:rsid w:val="000A49D8"/>
    <w:rsid w:val="000A6AA4"/>
    <w:rsid w:val="000A6D77"/>
    <w:rsid w:val="000B3064"/>
    <w:rsid w:val="000B4CAB"/>
    <w:rsid w:val="000B7EAD"/>
    <w:rsid w:val="000C0C7F"/>
    <w:rsid w:val="000C4422"/>
    <w:rsid w:val="000D078F"/>
    <w:rsid w:val="000D10E6"/>
    <w:rsid w:val="000D2051"/>
    <w:rsid w:val="000D3D25"/>
    <w:rsid w:val="000D59CA"/>
    <w:rsid w:val="000D6188"/>
    <w:rsid w:val="000D6E68"/>
    <w:rsid w:val="000D7CD4"/>
    <w:rsid w:val="000D7DED"/>
    <w:rsid w:val="000E0380"/>
    <w:rsid w:val="000E145E"/>
    <w:rsid w:val="000E36A2"/>
    <w:rsid w:val="000E3E24"/>
    <w:rsid w:val="000E4D17"/>
    <w:rsid w:val="000E51D6"/>
    <w:rsid w:val="000E7B4D"/>
    <w:rsid w:val="000F03A3"/>
    <w:rsid w:val="000F6668"/>
    <w:rsid w:val="00101411"/>
    <w:rsid w:val="00102827"/>
    <w:rsid w:val="00102A15"/>
    <w:rsid w:val="00104ABC"/>
    <w:rsid w:val="00114019"/>
    <w:rsid w:val="001153ED"/>
    <w:rsid w:val="001169F1"/>
    <w:rsid w:val="00120129"/>
    <w:rsid w:val="00120F3F"/>
    <w:rsid w:val="00125880"/>
    <w:rsid w:val="001325BB"/>
    <w:rsid w:val="00137612"/>
    <w:rsid w:val="00144063"/>
    <w:rsid w:val="001471E5"/>
    <w:rsid w:val="00152BF2"/>
    <w:rsid w:val="00154805"/>
    <w:rsid w:val="00162A48"/>
    <w:rsid w:val="001649EC"/>
    <w:rsid w:val="001732AC"/>
    <w:rsid w:val="001732FB"/>
    <w:rsid w:val="0017410E"/>
    <w:rsid w:val="001764A1"/>
    <w:rsid w:val="001770C8"/>
    <w:rsid w:val="001774F3"/>
    <w:rsid w:val="001775FA"/>
    <w:rsid w:val="00180D3E"/>
    <w:rsid w:val="00181C54"/>
    <w:rsid w:val="00184E1E"/>
    <w:rsid w:val="00185BEC"/>
    <w:rsid w:val="001902B6"/>
    <w:rsid w:val="001930B4"/>
    <w:rsid w:val="001952CE"/>
    <w:rsid w:val="00197DFF"/>
    <w:rsid w:val="001A4504"/>
    <w:rsid w:val="001A4C1C"/>
    <w:rsid w:val="001A687C"/>
    <w:rsid w:val="001A6D37"/>
    <w:rsid w:val="001B009D"/>
    <w:rsid w:val="001B05A6"/>
    <w:rsid w:val="001B1AB4"/>
    <w:rsid w:val="001B2DC3"/>
    <w:rsid w:val="001B31D7"/>
    <w:rsid w:val="001B62B4"/>
    <w:rsid w:val="001C0B0B"/>
    <w:rsid w:val="001C0D24"/>
    <w:rsid w:val="001C208B"/>
    <w:rsid w:val="001C3A5C"/>
    <w:rsid w:val="001C5E16"/>
    <w:rsid w:val="001D01BC"/>
    <w:rsid w:val="001D0DA6"/>
    <w:rsid w:val="001D1AA6"/>
    <w:rsid w:val="001D5E48"/>
    <w:rsid w:val="001E260A"/>
    <w:rsid w:val="001E3AA1"/>
    <w:rsid w:val="001E3D65"/>
    <w:rsid w:val="001E40DE"/>
    <w:rsid w:val="001E456E"/>
    <w:rsid w:val="001F1AC5"/>
    <w:rsid w:val="001F5B3D"/>
    <w:rsid w:val="001F743E"/>
    <w:rsid w:val="0020377D"/>
    <w:rsid w:val="0020484F"/>
    <w:rsid w:val="00206CD7"/>
    <w:rsid w:val="002110E3"/>
    <w:rsid w:val="00212494"/>
    <w:rsid w:val="002149DB"/>
    <w:rsid w:val="002162C9"/>
    <w:rsid w:val="00220660"/>
    <w:rsid w:val="0022115C"/>
    <w:rsid w:val="002232D7"/>
    <w:rsid w:val="0022522B"/>
    <w:rsid w:val="00225E25"/>
    <w:rsid w:val="002265FB"/>
    <w:rsid w:val="0022747E"/>
    <w:rsid w:val="00230352"/>
    <w:rsid w:val="00231256"/>
    <w:rsid w:val="00231ED1"/>
    <w:rsid w:val="002371B0"/>
    <w:rsid w:val="00237C7C"/>
    <w:rsid w:val="00237D97"/>
    <w:rsid w:val="0024060A"/>
    <w:rsid w:val="00240F1D"/>
    <w:rsid w:val="0024105E"/>
    <w:rsid w:val="0024304B"/>
    <w:rsid w:val="002445F9"/>
    <w:rsid w:val="0024592E"/>
    <w:rsid w:val="0024627E"/>
    <w:rsid w:val="00252A92"/>
    <w:rsid w:val="002532EF"/>
    <w:rsid w:val="00253832"/>
    <w:rsid w:val="002569E9"/>
    <w:rsid w:val="00261E30"/>
    <w:rsid w:val="00265D1D"/>
    <w:rsid w:val="00266635"/>
    <w:rsid w:val="00266DDB"/>
    <w:rsid w:val="0027000D"/>
    <w:rsid w:val="00270334"/>
    <w:rsid w:val="002709D0"/>
    <w:rsid w:val="0027122D"/>
    <w:rsid w:val="00272AFF"/>
    <w:rsid w:val="0027585C"/>
    <w:rsid w:val="002764AF"/>
    <w:rsid w:val="00276FEA"/>
    <w:rsid w:val="002805BC"/>
    <w:rsid w:val="002814AD"/>
    <w:rsid w:val="00281508"/>
    <w:rsid w:val="002859D4"/>
    <w:rsid w:val="00286FB6"/>
    <w:rsid w:val="002871E3"/>
    <w:rsid w:val="0029168B"/>
    <w:rsid w:val="002922E8"/>
    <w:rsid w:val="0029320B"/>
    <w:rsid w:val="00293830"/>
    <w:rsid w:val="00294A11"/>
    <w:rsid w:val="002958E7"/>
    <w:rsid w:val="002961E6"/>
    <w:rsid w:val="0029722B"/>
    <w:rsid w:val="00297F73"/>
    <w:rsid w:val="002A0CF5"/>
    <w:rsid w:val="002A0EC1"/>
    <w:rsid w:val="002A24DE"/>
    <w:rsid w:val="002A282E"/>
    <w:rsid w:val="002A4E05"/>
    <w:rsid w:val="002A556D"/>
    <w:rsid w:val="002A5620"/>
    <w:rsid w:val="002A57EF"/>
    <w:rsid w:val="002A606F"/>
    <w:rsid w:val="002A71FF"/>
    <w:rsid w:val="002B0C4F"/>
    <w:rsid w:val="002B0CE1"/>
    <w:rsid w:val="002B1150"/>
    <w:rsid w:val="002B15EA"/>
    <w:rsid w:val="002B488C"/>
    <w:rsid w:val="002B4B8F"/>
    <w:rsid w:val="002B71A3"/>
    <w:rsid w:val="002B79FA"/>
    <w:rsid w:val="002C11D5"/>
    <w:rsid w:val="002C1498"/>
    <w:rsid w:val="002C2D03"/>
    <w:rsid w:val="002C5B74"/>
    <w:rsid w:val="002C6ECD"/>
    <w:rsid w:val="002C709A"/>
    <w:rsid w:val="002C71EE"/>
    <w:rsid w:val="002C75C9"/>
    <w:rsid w:val="002D10F3"/>
    <w:rsid w:val="002D457E"/>
    <w:rsid w:val="002E0E82"/>
    <w:rsid w:val="002E1A03"/>
    <w:rsid w:val="002E265C"/>
    <w:rsid w:val="002E274E"/>
    <w:rsid w:val="002E27FE"/>
    <w:rsid w:val="002E3F25"/>
    <w:rsid w:val="002E5072"/>
    <w:rsid w:val="002E6F16"/>
    <w:rsid w:val="002F0763"/>
    <w:rsid w:val="002F07F6"/>
    <w:rsid w:val="002F4AB1"/>
    <w:rsid w:val="002F6923"/>
    <w:rsid w:val="0030369C"/>
    <w:rsid w:val="003046EB"/>
    <w:rsid w:val="00307AE5"/>
    <w:rsid w:val="00307AF6"/>
    <w:rsid w:val="00314A16"/>
    <w:rsid w:val="00315BED"/>
    <w:rsid w:val="00321169"/>
    <w:rsid w:val="00321375"/>
    <w:rsid w:val="003237CB"/>
    <w:rsid w:val="00324400"/>
    <w:rsid w:val="003251BB"/>
    <w:rsid w:val="00331C22"/>
    <w:rsid w:val="00331F83"/>
    <w:rsid w:val="003348B3"/>
    <w:rsid w:val="00335A9C"/>
    <w:rsid w:val="00336154"/>
    <w:rsid w:val="0033669A"/>
    <w:rsid w:val="00336AA3"/>
    <w:rsid w:val="0034322E"/>
    <w:rsid w:val="00343344"/>
    <w:rsid w:val="0034368F"/>
    <w:rsid w:val="00343929"/>
    <w:rsid w:val="00344B5C"/>
    <w:rsid w:val="0034653B"/>
    <w:rsid w:val="00351AEF"/>
    <w:rsid w:val="00360841"/>
    <w:rsid w:val="00361FD9"/>
    <w:rsid w:val="0036236F"/>
    <w:rsid w:val="00362B48"/>
    <w:rsid w:val="00363891"/>
    <w:rsid w:val="00364A13"/>
    <w:rsid w:val="00367942"/>
    <w:rsid w:val="00367A49"/>
    <w:rsid w:val="00370B36"/>
    <w:rsid w:val="00370D37"/>
    <w:rsid w:val="00371349"/>
    <w:rsid w:val="003740CF"/>
    <w:rsid w:val="003760BD"/>
    <w:rsid w:val="003764C2"/>
    <w:rsid w:val="00376B3B"/>
    <w:rsid w:val="00377D4C"/>
    <w:rsid w:val="0038207B"/>
    <w:rsid w:val="00382636"/>
    <w:rsid w:val="00382A9E"/>
    <w:rsid w:val="00383AE2"/>
    <w:rsid w:val="00383D2A"/>
    <w:rsid w:val="00384976"/>
    <w:rsid w:val="00386066"/>
    <w:rsid w:val="00386D30"/>
    <w:rsid w:val="0038761D"/>
    <w:rsid w:val="00390964"/>
    <w:rsid w:val="00391B1A"/>
    <w:rsid w:val="003921F9"/>
    <w:rsid w:val="003929EF"/>
    <w:rsid w:val="00394AB0"/>
    <w:rsid w:val="003956AF"/>
    <w:rsid w:val="00395EBC"/>
    <w:rsid w:val="00396128"/>
    <w:rsid w:val="003974E4"/>
    <w:rsid w:val="003A09BF"/>
    <w:rsid w:val="003A156F"/>
    <w:rsid w:val="003A20E4"/>
    <w:rsid w:val="003A2A82"/>
    <w:rsid w:val="003A2DA7"/>
    <w:rsid w:val="003A30CF"/>
    <w:rsid w:val="003A54C7"/>
    <w:rsid w:val="003A732C"/>
    <w:rsid w:val="003B0717"/>
    <w:rsid w:val="003B45E0"/>
    <w:rsid w:val="003B5308"/>
    <w:rsid w:val="003B74D5"/>
    <w:rsid w:val="003C095C"/>
    <w:rsid w:val="003C3BFE"/>
    <w:rsid w:val="003C5C58"/>
    <w:rsid w:val="003C5C65"/>
    <w:rsid w:val="003C7262"/>
    <w:rsid w:val="003D2C7D"/>
    <w:rsid w:val="003D4DA9"/>
    <w:rsid w:val="003D4F74"/>
    <w:rsid w:val="003D5C34"/>
    <w:rsid w:val="003D6DDA"/>
    <w:rsid w:val="003E0AA1"/>
    <w:rsid w:val="003E12D8"/>
    <w:rsid w:val="003E1BB0"/>
    <w:rsid w:val="003E20C6"/>
    <w:rsid w:val="003E30E0"/>
    <w:rsid w:val="003E3897"/>
    <w:rsid w:val="003E51D7"/>
    <w:rsid w:val="003E5388"/>
    <w:rsid w:val="003F1CBC"/>
    <w:rsid w:val="003F1D5E"/>
    <w:rsid w:val="003F3259"/>
    <w:rsid w:val="003F51E9"/>
    <w:rsid w:val="003F5748"/>
    <w:rsid w:val="003F5E28"/>
    <w:rsid w:val="003F674F"/>
    <w:rsid w:val="003F6F25"/>
    <w:rsid w:val="004005A8"/>
    <w:rsid w:val="00400AD7"/>
    <w:rsid w:val="00401918"/>
    <w:rsid w:val="004020D0"/>
    <w:rsid w:val="004022DE"/>
    <w:rsid w:val="00404438"/>
    <w:rsid w:val="00406206"/>
    <w:rsid w:val="00406558"/>
    <w:rsid w:val="004075D6"/>
    <w:rsid w:val="0041449A"/>
    <w:rsid w:val="00414A44"/>
    <w:rsid w:val="0041777B"/>
    <w:rsid w:val="00420422"/>
    <w:rsid w:val="0042123C"/>
    <w:rsid w:val="004212F0"/>
    <w:rsid w:val="00421478"/>
    <w:rsid w:val="004216C0"/>
    <w:rsid w:val="00422B13"/>
    <w:rsid w:val="00423399"/>
    <w:rsid w:val="004269A2"/>
    <w:rsid w:val="00437F2B"/>
    <w:rsid w:val="00440079"/>
    <w:rsid w:val="0044214D"/>
    <w:rsid w:val="004421D3"/>
    <w:rsid w:val="00443506"/>
    <w:rsid w:val="0044567C"/>
    <w:rsid w:val="004459C5"/>
    <w:rsid w:val="004530A2"/>
    <w:rsid w:val="00455CFC"/>
    <w:rsid w:val="00456188"/>
    <w:rsid w:val="004564F0"/>
    <w:rsid w:val="00456959"/>
    <w:rsid w:val="00461494"/>
    <w:rsid w:val="00461DCF"/>
    <w:rsid w:val="0046251A"/>
    <w:rsid w:val="00472B77"/>
    <w:rsid w:val="004743D8"/>
    <w:rsid w:val="00475826"/>
    <w:rsid w:val="004773FC"/>
    <w:rsid w:val="00483E94"/>
    <w:rsid w:val="0048575F"/>
    <w:rsid w:val="00491708"/>
    <w:rsid w:val="004923F8"/>
    <w:rsid w:val="004938B7"/>
    <w:rsid w:val="004A0021"/>
    <w:rsid w:val="004A1F46"/>
    <w:rsid w:val="004A555E"/>
    <w:rsid w:val="004A5C2D"/>
    <w:rsid w:val="004A5EC4"/>
    <w:rsid w:val="004A6184"/>
    <w:rsid w:val="004A629B"/>
    <w:rsid w:val="004B0AA0"/>
    <w:rsid w:val="004B1737"/>
    <w:rsid w:val="004B1B70"/>
    <w:rsid w:val="004B227D"/>
    <w:rsid w:val="004B2D9C"/>
    <w:rsid w:val="004B53F7"/>
    <w:rsid w:val="004B57B0"/>
    <w:rsid w:val="004B62B3"/>
    <w:rsid w:val="004B6D46"/>
    <w:rsid w:val="004B7D72"/>
    <w:rsid w:val="004C1AAD"/>
    <w:rsid w:val="004C2139"/>
    <w:rsid w:val="004C264F"/>
    <w:rsid w:val="004C3DF8"/>
    <w:rsid w:val="004C491C"/>
    <w:rsid w:val="004C75E8"/>
    <w:rsid w:val="004D210C"/>
    <w:rsid w:val="004D2154"/>
    <w:rsid w:val="004D3B71"/>
    <w:rsid w:val="004D4B68"/>
    <w:rsid w:val="004D6499"/>
    <w:rsid w:val="004D7576"/>
    <w:rsid w:val="004D759F"/>
    <w:rsid w:val="004D76E5"/>
    <w:rsid w:val="004E0DE7"/>
    <w:rsid w:val="004E328F"/>
    <w:rsid w:val="004E4259"/>
    <w:rsid w:val="004E453F"/>
    <w:rsid w:val="004E46B1"/>
    <w:rsid w:val="004E76D0"/>
    <w:rsid w:val="004E7E9A"/>
    <w:rsid w:val="004F0C16"/>
    <w:rsid w:val="004F1F2C"/>
    <w:rsid w:val="004F4BD5"/>
    <w:rsid w:val="0050239F"/>
    <w:rsid w:val="0050256B"/>
    <w:rsid w:val="0050504F"/>
    <w:rsid w:val="0050613C"/>
    <w:rsid w:val="00507D61"/>
    <w:rsid w:val="005107BB"/>
    <w:rsid w:val="005109CB"/>
    <w:rsid w:val="005126B4"/>
    <w:rsid w:val="005244E9"/>
    <w:rsid w:val="00525024"/>
    <w:rsid w:val="00532CE3"/>
    <w:rsid w:val="00533343"/>
    <w:rsid w:val="00534390"/>
    <w:rsid w:val="00537AF3"/>
    <w:rsid w:val="00542D1B"/>
    <w:rsid w:val="00546A41"/>
    <w:rsid w:val="0054706A"/>
    <w:rsid w:val="00547AC6"/>
    <w:rsid w:val="00550832"/>
    <w:rsid w:val="0055162E"/>
    <w:rsid w:val="0055461B"/>
    <w:rsid w:val="00557C19"/>
    <w:rsid w:val="00560A53"/>
    <w:rsid w:val="00561D06"/>
    <w:rsid w:val="00562297"/>
    <w:rsid w:val="00562970"/>
    <w:rsid w:val="0056539F"/>
    <w:rsid w:val="005709FB"/>
    <w:rsid w:val="00575F44"/>
    <w:rsid w:val="005768E6"/>
    <w:rsid w:val="00577280"/>
    <w:rsid w:val="00581707"/>
    <w:rsid w:val="00581F06"/>
    <w:rsid w:val="00586F98"/>
    <w:rsid w:val="00591126"/>
    <w:rsid w:val="005911D4"/>
    <w:rsid w:val="00591770"/>
    <w:rsid w:val="005928AD"/>
    <w:rsid w:val="00594FEB"/>
    <w:rsid w:val="0059564E"/>
    <w:rsid w:val="005A1519"/>
    <w:rsid w:val="005A1733"/>
    <w:rsid w:val="005A3E97"/>
    <w:rsid w:val="005A520D"/>
    <w:rsid w:val="005A715C"/>
    <w:rsid w:val="005B0B51"/>
    <w:rsid w:val="005B0CA8"/>
    <w:rsid w:val="005B11FD"/>
    <w:rsid w:val="005B2956"/>
    <w:rsid w:val="005B3B1D"/>
    <w:rsid w:val="005B5904"/>
    <w:rsid w:val="005B653D"/>
    <w:rsid w:val="005C1BBD"/>
    <w:rsid w:val="005C54E5"/>
    <w:rsid w:val="005C557B"/>
    <w:rsid w:val="005C697E"/>
    <w:rsid w:val="005D14E2"/>
    <w:rsid w:val="005D170D"/>
    <w:rsid w:val="005D30C0"/>
    <w:rsid w:val="005D3785"/>
    <w:rsid w:val="005D4900"/>
    <w:rsid w:val="005D59D7"/>
    <w:rsid w:val="005E14C8"/>
    <w:rsid w:val="005E4289"/>
    <w:rsid w:val="005E46C8"/>
    <w:rsid w:val="005E5773"/>
    <w:rsid w:val="005E62B8"/>
    <w:rsid w:val="005F2DF1"/>
    <w:rsid w:val="005F67CA"/>
    <w:rsid w:val="006011D9"/>
    <w:rsid w:val="00601577"/>
    <w:rsid w:val="0060238B"/>
    <w:rsid w:val="00603820"/>
    <w:rsid w:val="0060393E"/>
    <w:rsid w:val="00604358"/>
    <w:rsid w:val="0060459C"/>
    <w:rsid w:val="006047BA"/>
    <w:rsid w:val="0060687A"/>
    <w:rsid w:val="00606C31"/>
    <w:rsid w:val="00610B32"/>
    <w:rsid w:val="00613947"/>
    <w:rsid w:val="006208B9"/>
    <w:rsid w:val="006217CB"/>
    <w:rsid w:val="006249AE"/>
    <w:rsid w:val="00624CE3"/>
    <w:rsid w:val="00625DF5"/>
    <w:rsid w:val="00627F9B"/>
    <w:rsid w:val="0063619F"/>
    <w:rsid w:val="00636989"/>
    <w:rsid w:val="00640F0A"/>
    <w:rsid w:val="006419D1"/>
    <w:rsid w:val="00647ED4"/>
    <w:rsid w:val="00652427"/>
    <w:rsid w:val="0065371E"/>
    <w:rsid w:val="0065494F"/>
    <w:rsid w:val="0065653F"/>
    <w:rsid w:val="00661F17"/>
    <w:rsid w:val="00662C16"/>
    <w:rsid w:val="00664598"/>
    <w:rsid w:val="006646BD"/>
    <w:rsid w:val="006651F3"/>
    <w:rsid w:val="00667083"/>
    <w:rsid w:val="006736F6"/>
    <w:rsid w:val="00673FAF"/>
    <w:rsid w:val="006743B9"/>
    <w:rsid w:val="00675C27"/>
    <w:rsid w:val="00676699"/>
    <w:rsid w:val="00676E8E"/>
    <w:rsid w:val="0067788F"/>
    <w:rsid w:val="00677E0B"/>
    <w:rsid w:val="00677F9E"/>
    <w:rsid w:val="00684C7B"/>
    <w:rsid w:val="0068662A"/>
    <w:rsid w:val="00687594"/>
    <w:rsid w:val="0069068B"/>
    <w:rsid w:val="00691F80"/>
    <w:rsid w:val="00693138"/>
    <w:rsid w:val="00694E53"/>
    <w:rsid w:val="00697445"/>
    <w:rsid w:val="006975F5"/>
    <w:rsid w:val="006A0024"/>
    <w:rsid w:val="006A0DB2"/>
    <w:rsid w:val="006A2867"/>
    <w:rsid w:val="006A6598"/>
    <w:rsid w:val="006A67DD"/>
    <w:rsid w:val="006A6CFA"/>
    <w:rsid w:val="006A7F39"/>
    <w:rsid w:val="006B1B16"/>
    <w:rsid w:val="006B2958"/>
    <w:rsid w:val="006B4000"/>
    <w:rsid w:val="006B45D9"/>
    <w:rsid w:val="006B651C"/>
    <w:rsid w:val="006C3238"/>
    <w:rsid w:val="006C5135"/>
    <w:rsid w:val="006C7073"/>
    <w:rsid w:val="006D0EB0"/>
    <w:rsid w:val="006D42C4"/>
    <w:rsid w:val="006D75E7"/>
    <w:rsid w:val="006D7A4E"/>
    <w:rsid w:val="006E1860"/>
    <w:rsid w:val="006E1A71"/>
    <w:rsid w:val="006E3760"/>
    <w:rsid w:val="006E4534"/>
    <w:rsid w:val="006E53ED"/>
    <w:rsid w:val="006E62B3"/>
    <w:rsid w:val="006E6C51"/>
    <w:rsid w:val="006E748A"/>
    <w:rsid w:val="006E7DA4"/>
    <w:rsid w:val="006F0F79"/>
    <w:rsid w:val="006F59AE"/>
    <w:rsid w:val="0070075D"/>
    <w:rsid w:val="00700C7B"/>
    <w:rsid w:val="00702B75"/>
    <w:rsid w:val="00703DB9"/>
    <w:rsid w:val="0070464B"/>
    <w:rsid w:val="00705259"/>
    <w:rsid w:val="007070C7"/>
    <w:rsid w:val="007119AE"/>
    <w:rsid w:val="0071511F"/>
    <w:rsid w:val="0071620A"/>
    <w:rsid w:val="007177CA"/>
    <w:rsid w:val="007214DA"/>
    <w:rsid w:val="00723EC9"/>
    <w:rsid w:val="00730880"/>
    <w:rsid w:val="00731318"/>
    <w:rsid w:val="0073218A"/>
    <w:rsid w:val="00732AB1"/>
    <w:rsid w:val="00733EF0"/>
    <w:rsid w:val="007340A4"/>
    <w:rsid w:val="00741C34"/>
    <w:rsid w:val="007429E1"/>
    <w:rsid w:val="00743E3F"/>
    <w:rsid w:val="007446AB"/>
    <w:rsid w:val="007468EC"/>
    <w:rsid w:val="007509D0"/>
    <w:rsid w:val="0075277E"/>
    <w:rsid w:val="007531B5"/>
    <w:rsid w:val="00753213"/>
    <w:rsid w:val="00755341"/>
    <w:rsid w:val="00756704"/>
    <w:rsid w:val="00762A14"/>
    <w:rsid w:val="00763BA0"/>
    <w:rsid w:val="00763BC6"/>
    <w:rsid w:val="00764582"/>
    <w:rsid w:val="00765004"/>
    <w:rsid w:val="00773861"/>
    <w:rsid w:val="00781FD9"/>
    <w:rsid w:val="0078293C"/>
    <w:rsid w:val="00782D3D"/>
    <w:rsid w:val="007830FF"/>
    <w:rsid w:val="00783604"/>
    <w:rsid w:val="0078464E"/>
    <w:rsid w:val="00785701"/>
    <w:rsid w:val="0078571E"/>
    <w:rsid w:val="00790459"/>
    <w:rsid w:val="00790A8B"/>
    <w:rsid w:val="00790CC6"/>
    <w:rsid w:val="0079137F"/>
    <w:rsid w:val="00791B64"/>
    <w:rsid w:val="00793C1D"/>
    <w:rsid w:val="0079442F"/>
    <w:rsid w:val="007947A5"/>
    <w:rsid w:val="00794FA3"/>
    <w:rsid w:val="00795551"/>
    <w:rsid w:val="007A08DD"/>
    <w:rsid w:val="007A0DE1"/>
    <w:rsid w:val="007A1D08"/>
    <w:rsid w:val="007A2629"/>
    <w:rsid w:val="007A2817"/>
    <w:rsid w:val="007A43CC"/>
    <w:rsid w:val="007A4523"/>
    <w:rsid w:val="007A47C8"/>
    <w:rsid w:val="007B37AC"/>
    <w:rsid w:val="007B5515"/>
    <w:rsid w:val="007B5F5F"/>
    <w:rsid w:val="007C1289"/>
    <w:rsid w:val="007C3895"/>
    <w:rsid w:val="007C4D1A"/>
    <w:rsid w:val="007C53AF"/>
    <w:rsid w:val="007C6386"/>
    <w:rsid w:val="007C645C"/>
    <w:rsid w:val="007C68E8"/>
    <w:rsid w:val="007C71B0"/>
    <w:rsid w:val="007C74EA"/>
    <w:rsid w:val="007D3F12"/>
    <w:rsid w:val="007D5537"/>
    <w:rsid w:val="007D5EC5"/>
    <w:rsid w:val="007D6A37"/>
    <w:rsid w:val="007E246D"/>
    <w:rsid w:val="007E2D53"/>
    <w:rsid w:val="007E2DDD"/>
    <w:rsid w:val="007E44A9"/>
    <w:rsid w:val="007E71BD"/>
    <w:rsid w:val="007E77DD"/>
    <w:rsid w:val="007E7995"/>
    <w:rsid w:val="007F3EA8"/>
    <w:rsid w:val="007F5CC1"/>
    <w:rsid w:val="00800F15"/>
    <w:rsid w:val="00801798"/>
    <w:rsid w:val="0080286A"/>
    <w:rsid w:val="008039C8"/>
    <w:rsid w:val="008039C9"/>
    <w:rsid w:val="00805688"/>
    <w:rsid w:val="008106CF"/>
    <w:rsid w:val="0081530C"/>
    <w:rsid w:val="0081553E"/>
    <w:rsid w:val="00816AD2"/>
    <w:rsid w:val="00817326"/>
    <w:rsid w:val="008214AA"/>
    <w:rsid w:val="008219F6"/>
    <w:rsid w:val="0082257F"/>
    <w:rsid w:val="00822C32"/>
    <w:rsid w:val="00824774"/>
    <w:rsid w:val="008254BD"/>
    <w:rsid w:val="008305E1"/>
    <w:rsid w:val="00832237"/>
    <w:rsid w:val="008329EE"/>
    <w:rsid w:val="00832C07"/>
    <w:rsid w:val="008341CB"/>
    <w:rsid w:val="00834B51"/>
    <w:rsid w:val="00837810"/>
    <w:rsid w:val="00837C11"/>
    <w:rsid w:val="00840718"/>
    <w:rsid w:val="00840A80"/>
    <w:rsid w:val="008444AC"/>
    <w:rsid w:val="008460EA"/>
    <w:rsid w:val="008510F1"/>
    <w:rsid w:val="008514C5"/>
    <w:rsid w:val="00851D6B"/>
    <w:rsid w:val="00851E8F"/>
    <w:rsid w:val="0085504F"/>
    <w:rsid w:val="0085562B"/>
    <w:rsid w:val="00855D63"/>
    <w:rsid w:val="0086215A"/>
    <w:rsid w:val="00862CFF"/>
    <w:rsid w:val="00862DC0"/>
    <w:rsid w:val="0086385D"/>
    <w:rsid w:val="00864D85"/>
    <w:rsid w:val="00867544"/>
    <w:rsid w:val="008719FC"/>
    <w:rsid w:val="00875D87"/>
    <w:rsid w:val="0088047B"/>
    <w:rsid w:val="00880D11"/>
    <w:rsid w:val="00881E5D"/>
    <w:rsid w:val="00881FCC"/>
    <w:rsid w:val="0088302E"/>
    <w:rsid w:val="0089052A"/>
    <w:rsid w:val="00891CD1"/>
    <w:rsid w:val="00891D17"/>
    <w:rsid w:val="0089200C"/>
    <w:rsid w:val="00895C6F"/>
    <w:rsid w:val="008A5F23"/>
    <w:rsid w:val="008B06AC"/>
    <w:rsid w:val="008B2C23"/>
    <w:rsid w:val="008B4A6C"/>
    <w:rsid w:val="008B6814"/>
    <w:rsid w:val="008B7C9B"/>
    <w:rsid w:val="008C1245"/>
    <w:rsid w:val="008C1D48"/>
    <w:rsid w:val="008C2521"/>
    <w:rsid w:val="008C6140"/>
    <w:rsid w:val="008C718F"/>
    <w:rsid w:val="008D4654"/>
    <w:rsid w:val="008D4BBA"/>
    <w:rsid w:val="008D4D7D"/>
    <w:rsid w:val="008E078B"/>
    <w:rsid w:val="008E08C2"/>
    <w:rsid w:val="008E0D60"/>
    <w:rsid w:val="008E244D"/>
    <w:rsid w:val="008E448A"/>
    <w:rsid w:val="008E4867"/>
    <w:rsid w:val="008E5B4E"/>
    <w:rsid w:val="008E65F3"/>
    <w:rsid w:val="008E707D"/>
    <w:rsid w:val="008E7A11"/>
    <w:rsid w:val="008F195D"/>
    <w:rsid w:val="008F2172"/>
    <w:rsid w:val="008F30C2"/>
    <w:rsid w:val="008F4581"/>
    <w:rsid w:val="008F45A6"/>
    <w:rsid w:val="009017FD"/>
    <w:rsid w:val="00901F24"/>
    <w:rsid w:val="00907D7E"/>
    <w:rsid w:val="009112F8"/>
    <w:rsid w:val="00914E5B"/>
    <w:rsid w:val="0091560D"/>
    <w:rsid w:val="009158AF"/>
    <w:rsid w:val="00921606"/>
    <w:rsid w:val="009228F5"/>
    <w:rsid w:val="00922AE8"/>
    <w:rsid w:val="00923B84"/>
    <w:rsid w:val="00924E0D"/>
    <w:rsid w:val="009278B9"/>
    <w:rsid w:val="0093064B"/>
    <w:rsid w:val="00930B3A"/>
    <w:rsid w:val="00931ABE"/>
    <w:rsid w:val="0093225E"/>
    <w:rsid w:val="009344BA"/>
    <w:rsid w:val="00942858"/>
    <w:rsid w:val="00942BEC"/>
    <w:rsid w:val="0094440E"/>
    <w:rsid w:val="00944F05"/>
    <w:rsid w:val="00946BD4"/>
    <w:rsid w:val="00947C2E"/>
    <w:rsid w:val="0095011F"/>
    <w:rsid w:val="00950388"/>
    <w:rsid w:val="009515A0"/>
    <w:rsid w:val="00953D6A"/>
    <w:rsid w:val="009542C7"/>
    <w:rsid w:val="0095626B"/>
    <w:rsid w:val="00956F84"/>
    <w:rsid w:val="00956FC0"/>
    <w:rsid w:val="00957510"/>
    <w:rsid w:val="0096103E"/>
    <w:rsid w:val="0096304B"/>
    <w:rsid w:val="009639E4"/>
    <w:rsid w:val="00965B96"/>
    <w:rsid w:val="009669A2"/>
    <w:rsid w:val="0097049D"/>
    <w:rsid w:val="00970921"/>
    <w:rsid w:val="00970CBB"/>
    <w:rsid w:val="00970D40"/>
    <w:rsid w:val="00970F73"/>
    <w:rsid w:val="0097451B"/>
    <w:rsid w:val="00980105"/>
    <w:rsid w:val="00982530"/>
    <w:rsid w:val="00984803"/>
    <w:rsid w:val="00991755"/>
    <w:rsid w:val="00991E94"/>
    <w:rsid w:val="00994C7F"/>
    <w:rsid w:val="00997234"/>
    <w:rsid w:val="009A018D"/>
    <w:rsid w:val="009A1A74"/>
    <w:rsid w:val="009A32DF"/>
    <w:rsid w:val="009A3802"/>
    <w:rsid w:val="009A5256"/>
    <w:rsid w:val="009A5E03"/>
    <w:rsid w:val="009A7C73"/>
    <w:rsid w:val="009B0B0D"/>
    <w:rsid w:val="009B301F"/>
    <w:rsid w:val="009B34AD"/>
    <w:rsid w:val="009B37ED"/>
    <w:rsid w:val="009B3DD4"/>
    <w:rsid w:val="009B7818"/>
    <w:rsid w:val="009C0DCC"/>
    <w:rsid w:val="009C0E06"/>
    <w:rsid w:val="009C10A8"/>
    <w:rsid w:val="009C535E"/>
    <w:rsid w:val="009C6513"/>
    <w:rsid w:val="009C69BE"/>
    <w:rsid w:val="009C6BD9"/>
    <w:rsid w:val="009C7C89"/>
    <w:rsid w:val="009D36A6"/>
    <w:rsid w:val="009D3860"/>
    <w:rsid w:val="009D52F5"/>
    <w:rsid w:val="009D7A53"/>
    <w:rsid w:val="009E0240"/>
    <w:rsid w:val="009E14AB"/>
    <w:rsid w:val="009E16BF"/>
    <w:rsid w:val="009E1EB3"/>
    <w:rsid w:val="009E2405"/>
    <w:rsid w:val="009E3317"/>
    <w:rsid w:val="009E6452"/>
    <w:rsid w:val="009F1608"/>
    <w:rsid w:val="009F36EE"/>
    <w:rsid w:val="00A04ABF"/>
    <w:rsid w:val="00A05A49"/>
    <w:rsid w:val="00A101AF"/>
    <w:rsid w:val="00A105AB"/>
    <w:rsid w:val="00A17543"/>
    <w:rsid w:val="00A21A41"/>
    <w:rsid w:val="00A23917"/>
    <w:rsid w:val="00A2394C"/>
    <w:rsid w:val="00A24647"/>
    <w:rsid w:val="00A25149"/>
    <w:rsid w:val="00A2561C"/>
    <w:rsid w:val="00A26FBE"/>
    <w:rsid w:val="00A277B4"/>
    <w:rsid w:val="00A32B35"/>
    <w:rsid w:val="00A35C6D"/>
    <w:rsid w:val="00A40737"/>
    <w:rsid w:val="00A40F98"/>
    <w:rsid w:val="00A416C1"/>
    <w:rsid w:val="00A41A44"/>
    <w:rsid w:val="00A42516"/>
    <w:rsid w:val="00A43041"/>
    <w:rsid w:val="00A435B7"/>
    <w:rsid w:val="00A5013A"/>
    <w:rsid w:val="00A501C3"/>
    <w:rsid w:val="00A505B0"/>
    <w:rsid w:val="00A5324B"/>
    <w:rsid w:val="00A54621"/>
    <w:rsid w:val="00A56853"/>
    <w:rsid w:val="00A63309"/>
    <w:rsid w:val="00A67864"/>
    <w:rsid w:val="00A67A70"/>
    <w:rsid w:val="00A71178"/>
    <w:rsid w:val="00A720B1"/>
    <w:rsid w:val="00A73BD9"/>
    <w:rsid w:val="00A74658"/>
    <w:rsid w:val="00A75756"/>
    <w:rsid w:val="00A77A80"/>
    <w:rsid w:val="00A81883"/>
    <w:rsid w:val="00A818FC"/>
    <w:rsid w:val="00A86095"/>
    <w:rsid w:val="00A86EAA"/>
    <w:rsid w:val="00A91EAD"/>
    <w:rsid w:val="00A942EC"/>
    <w:rsid w:val="00A9504B"/>
    <w:rsid w:val="00A9774E"/>
    <w:rsid w:val="00AA084B"/>
    <w:rsid w:val="00AA28E0"/>
    <w:rsid w:val="00AA3042"/>
    <w:rsid w:val="00AA4386"/>
    <w:rsid w:val="00AA4929"/>
    <w:rsid w:val="00AA4F14"/>
    <w:rsid w:val="00AA54D9"/>
    <w:rsid w:val="00AA73EB"/>
    <w:rsid w:val="00AB289E"/>
    <w:rsid w:val="00AB2DB3"/>
    <w:rsid w:val="00AB5CF3"/>
    <w:rsid w:val="00AB5F04"/>
    <w:rsid w:val="00AC52D1"/>
    <w:rsid w:val="00AC6024"/>
    <w:rsid w:val="00AD56C7"/>
    <w:rsid w:val="00AD5F3A"/>
    <w:rsid w:val="00AD7234"/>
    <w:rsid w:val="00AD7FA1"/>
    <w:rsid w:val="00AE161B"/>
    <w:rsid w:val="00AE6541"/>
    <w:rsid w:val="00AF02A2"/>
    <w:rsid w:val="00AF1071"/>
    <w:rsid w:val="00AF217C"/>
    <w:rsid w:val="00AF35DA"/>
    <w:rsid w:val="00AF4FFC"/>
    <w:rsid w:val="00AF7557"/>
    <w:rsid w:val="00B03FE5"/>
    <w:rsid w:val="00B05776"/>
    <w:rsid w:val="00B109C4"/>
    <w:rsid w:val="00B10D51"/>
    <w:rsid w:val="00B155A2"/>
    <w:rsid w:val="00B15A97"/>
    <w:rsid w:val="00B16E1A"/>
    <w:rsid w:val="00B205EE"/>
    <w:rsid w:val="00B205FD"/>
    <w:rsid w:val="00B23C4B"/>
    <w:rsid w:val="00B240A9"/>
    <w:rsid w:val="00B24B68"/>
    <w:rsid w:val="00B270AE"/>
    <w:rsid w:val="00B27E4C"/>
    <w:rsid w:val="00B30327"/>
    <w:rsid w:val="00B307F1"/>
    <w:rsid w:val="00B354BA"/>
    <w:rsid w:val="00B41E30"/>
    <w:rsid w:val="00B4241B"/>
    <w:rsid w:val="00B452BA"/>
    <w:rsid w:val="00B46BB9"/>
    <w:rsid w:val="00B51E5A"/>
    <w:rsid w:val="00B5254A"/>
    <w:rsid w:val="00B52DD9"/>
    <w:rsid w:val="00B549DC"/>
    <w:rsid w:val="00B56D26"/>
    <w:rsid w:val="00B60B0A"/>
    <w:rsid w:val="00B61851"/>
    <w:rsid w:val="00B61B31"/>
    <w:rsid w:val="00B61C23"/>
    <w:rsid w:val="00B6263D"/>
    <w:rsid w:val="00B62D7C"/>
    <w:rsid w:val="00B653B9"/>
    <w:rsid w:val="00B65554"/>
    <w:rsid w:val="00B6686C"/>
    <w:rsid w:val="00B67B07"/>
    <w:rsid w:val="00B71395"/>
    <w:rsid w:val="00B722CB"/>
    <w:rsid w:val="00B73292"/>
    <w:rsid w:val="00B745AC"/>
    <w:rsid w:val="00B74B8E"/>
    <w:rsid w:val="00B76D60"/>
    <w:rsid w:val="00B770D3"/>
    <w:rsid w:val="00B80FE3"/>
    <w:rsid w:val="00B81258"/>
    <w:rsid w:val="00B81EAA"/>
    <w:rsid w:val="00B81F6F"/>
    <w:rsid w:val="00B8204D"/>
    <w:rsid w:val="00B84E1A"/>
    <w:rsid w:val="00B8506F"/>
    <w:rsid w:val="00B916C6"/>
    <w:rsid w:val="00B91E89"/>
    <w:rsid w:val="00B95B7C"/>
    <w:rsid w:val="00BA021B"/>
    <w:rsid w:val="00BA42D8"/>
    <w:rsid w:val="00BA4A34"/>
    <w:rsid w:val="00BA5D4E"/>
    <w:rsid w:val="00BA6C99"/>
    <w:rsid w:val="00BA6E9C"/>
    <w:rsid w:val="00BA737C"/>
    <w:rsid w:val="00BB1DF9"/>
    <w:rsid w:val="00BB2B36"/>
    <w:rsid w:val="00BB49D9"/>
    <w:rsid w:val="00BB4E20"/>
    <w:rsid w:val="00BB6420"/>
    <w:rsid w:val="00BC30E9"/>
    <w:rsid w:val="00BC6B9B"/>
    <w:rsid w:val="00BD02D0"/>
    <w:rsid w:val="00BD134A"/>
    <w:rsid w:val="00BD3BBC"/>
    <w:rsid w:val="00BE1F44"/>
    <w:rsid w:val="00BE3665"/>
    <w:rsid w:val="00BE38D7"/>
    <w:rsid w:val="00BE3B64"/>
    <w:rsid w:val="00BE51E1"/>
    <w:rsid w:val="00BE57B0"/>
    <w:rsid w:val="00BE72B2"/>
    <w:rsid w:val="00BF0218"/>
    <w:rsid w:val="00BF3898"/>
    <w:rsid w:val="00BF5E07"/>
    <w:rsid w:val="00C020EA"/>
    <w:rsid w:val="00C034F0"/>
    <w:rsid w:val="00C0357E"/>
    <w:rsid w:val="00C05537"/>
    <w:rsid w:val="00C06CC1"/>
    <w:rsid w:val="00C10F02"/>
    <w:rsid w:val="00C11CDB"/>
    <w:rsid w:val="00C12A7C"/>
    <w:rsid w:val="00C15CD5"/>
    <w:rsid w:val="00C210ED"/>
    <w:rsid w:val="00C22A52"/>
    <w:rsid w:val="00C2405D"/>
    <w:rsid w:val="00C244C9"/>
    <w:rsid w:val="00C27CEA"/>
    <w:rsid w:val="00C309B7"/>
    <w:rsid w:val="00C325A1"/>
    <w:rsid w:val="00C329F2"/>
    <w:rsid w:val="00C33B7A"/>
    <w:rsid w:val="00C35FDC"/>
    <w:rsid w:val="00C374A4"/>
    <w:rsid w:val="00C43778"/>
    <w:rsid w:val="00C46911"/>
    <w:rsid w:val="00C501D6"/>
    <w:rsid w:val="00C50956"/>
    <w:rsid w:val="00C50BB4"/>
    <w:rsid w:val="00C50D80"/>
    <w:rsid w:val="00C519EE"/>
    <w:rsid w:val="00C520D9"/>
    <w:rsid w:val="00C523A4"/>
    <w:rsid w:val="00C528EF"/>
    <w:rsid w:val="00C53526"/>
    <w:rsid w:val="00C5367F"/>
    <w:rsid w:val="00C63950"/>
    <w:rsid w:val="00C640D8"/>
    <w:rsid w:val="00C657C3"/>
    <w:rsid w:val="00C66A32"/>
    <w:rsid w:val="00C6712F"/>
    <w:rsid w:val="00C706FB"/>
    <w:rsid w:val="00C70F5C"/>
    <w:rsid w:val="00C72D2F"/>
    <w:rsid w:val="00C77361"/>
    <w:rsid w:val="00C81595"/>
    <w:rsid w:val="00C820D7"/>
    <w:rsid w:val="00C8282D"/>
    <w:rsid w:val="00C84CEB"/>
    <w:rsid w:val="00C852AA"/>
    <w:rsid w:val="00C85988"/>
    <w:rsid w:val="00C865CD"/>
    <w:rsid w:val="00C90501"/>
    <w:rsid w:val="00C907A2"/>
    <w:rsid w:val="00C9092D"/>
    <w:rsid w:val="00C91558"/>
    <w:rsid w:val="00C9476B"/>
    <w:rsid w:val="00C94D77"/>
    <w:rsid w:val="00C95001"/>
    <w:rsid w:val="00C953A5"/>
    <w:rsid w:val="00C962AE"/>
    <w:rsid w:val="00CA03B7"/>
    <w:rsid w:val="00CA26D4"/>
    <w:rsid w:val="00CA3816"/>
    <w:rsid w:val="00CA3A05"/>
    <w:rsid w:val="00CA4398"/>
    <w:rsid w:val="00CA4E28"/>
    <w:rsid w:val="00CA55AF"/>
    <w:rsid w:val="00CB2371"/>
    <w:rsid w:val="00CB26DE"/>
    <w:rsid w:val="00CB4491"/>
    <w:rsid w:val="00CB4B69"/>
    <w:rsid w:val="00CB4C49"/>
    <w:rsid w:val="00CB5293"/>
    <w:rsid w:val="00CB5F1B"/>
    <w:rsid w:val="00CB6264"/>
    <w:rsid w:val="00CB628B"/>
    <w:rsid w:val="00CB72A4"/>
    <w:rsid w:val="00CB7B08"/>
    <w:rsid w:val="00CC3AA0"/>
    <w:rsid w:val="00CC48F5"/>
    <w:rsid w:val="00CC61F2"/>
    <w:rsid w:val="00CC66E4"/>
    <w:rsid w:val="00CC74CD"/>
    <w:rsid w:val="00CC7A4E"/>
    <w:rsid w:val="00CD0AEF"/>
    <w:rsid w:val="00CD0B9B"/>
    <w:rsid w:val="00CD1880"/>
    <w:rsid w:val="00CD1B3B"/>
    <w:rsid w:val="00CD2A52"/>
    <w:rsid w:val="00CD3C28"/>
    <w:rsid w:val="00CD5E3E"/>
    <w:rsid w:val="00CF016E"/>
    <w:rsid w:val="00CF4E9B"/>
    <w:rsid w:val="00CF67BC"/>
    <w:rsid w:val="00CF731D"/>
    <w:rsid w:val="00D00899"/>
    <w:rsid w:val="00D06743"/>
    <w:rsid w:val="00D11EB4"/>
    <w:rsid w:val="00D1407D"/>
    <w:rsid w:val="00D14AA4"/>
    <w:rsid w:val="00D169E8"/>
    <w:rsid w:val="00D253B3"/>
    <w:rsid w:val="00D258B9"/>
    <w:rsid w:val="00D268AA"/>
    <w:rsid w:val="00D30A6A"/>
    <w:rsid w:val="00D31674"/>
    <w:rsid w:val="00D32F11"/>
    <w:rsid w:val="00D34B8F"/>
    <w:rsid w:val="00D37984"/>
    <w:rsid w:val="00D37F7A"/>
    <w:rsid w:val="00D42E2E"/>
    <w:rsid w:val="00D447E7"/>
    <w:rsid w:val="00D44A8B"/>
    <w:rsid w:val="00D44CA2"/>
    <w:rsid w:val="00D47285"/>
    <w:rsid w:val="00D473C3"/>
    <w:rsid w:val="00D50331"/>
    <w:rsid w:val="00D548A9"/>
    <w:rsid w:val="00D54D12"/>
    <w:rsid w:val="00D54FA4"/>
    <w:rsid w:val="00D552FF"/>
    <w:rsid w:val="00D55B77"/>
    <w:rsid w:val="00D57CCD"/>
    <w:rsid w:val="00D601A1"/>
    <w:rsid w:val="00D60E55"/>
    <w:rsid w:val="00D61490"/>
    <w:rsid w:val="00D64A63"/>
    <w:rsid w:val="00D65B43"/>
    <w:rsid w:val="00D6795C"/>
    <w:rsid w:val="00D7010B"/>
    <w:rsid w:val="00D71E80"/>
    <w:rsid w:val="00D72D8B"/>
    <w:rsid w:val="00D73AD4"/>
    <w:rsid w:val="00D74C8F"/>
    <w:rsid w:val="00D771A2"/>
    <w:rsid w:val="00D77710"/>
    <w:rsid w:val="00D81369"/>
    <w:rsid w:val="00D81431"/>
    <w:rsid w:val="00D82138"/>
    <w:rsid w:val="00D83CF8"/>
    <w:rsid w:val="00D84401"/>
    <w:rsid w:val="00D84C45"/>
    <w:rsid w:val="00D86399"/>
    <w:rsid w:val="00D86FFB"/>
    <w:rsid w:val="00D908DE"/>
    <w:rsid w:val="00D926D2"/>
    <w:rsid w:val="00D92E77"/>
    <w:rsid w:val="00D92EF6"/>
    <w:rsid w:val="00D9630A"/>
    <w:rsid w:val="00DA3773"/>
    <w:rsid w:val="00DB0C9A"/>
    <w:rsid w:val="00DB1A97"/>
    <w:rsid w:val="00DB230F"/>
    <w:rsid w:val="00DB262F"/>
    <w:rsid w:val="00DB3C23"/>
    <w:rsid w:val="00DB449F"/>
    <w:rsid w:val="00DB4D3C"/>
    <w:rsid w:val="00DB730B"/>
    <w:rsid w:val="00DB7802"/>
    <w:rsid w:val="00DC0A82"/>
    <w:rsid w:val="00DC1382"/>
    <w:rsid w:val="00DC19CB"/>
    <w:rsid w:val="00DC21B8"/>
    <w:rsid w:val="00DC4CB6"/>
    <w:rsid w:val="00DD056F"/>
    <w:rsid w:val="00DD36DC"/>
    <w:rsid w:val="00DD68CD"/>
    <w:rsid w:val="00DD74D7"/>
    <w:rsid w:val="00DE1E5D"/>
    <w:rsid w:val="00DE56E4"/>
    <w:rsid w:val="00DE7CF0"/>
    <w:rsid w:val="00DF0CC2"/>
    <w:rsid w:val="00DF1375"/>
    <w:rsid w:val="00DF3CCC"/>
    <w:rsid w:val="00DF74A0"/>
    <w:rsid w:val="00DF7E7E"/>
    <w:rsid w:val="00E02E81"/>
    <w:rsid w:val="00E038D6"/>
    <w:rsid w:val="00E03D6F"/>
    <w:rsid w:val="00E04758"/>
    <w:rsid w:val="00E0497F"/>
    <w:rsid w:val="00E06957"/>
    <w:rsid w:val="00E072EF"/>
    <w:rsid w:val="00E07BEF"/>
    <w:rsid w:val="00E10315"/>
    <w:rsid w:val="00E1085C"/>
    <w:rsid w:val="00E10B66"/>
    <w:rsid w:val="00E10D3E"/>
    <w:rsid w:val="00E12322"/>
    <w:rsid w:val="00E1332A"/>
    <w:rsid w:val="00E15F85"/>
    <w:rsid w:val="00E20E74"/>
    <w:rsid w:val="00E21DF6"/>
    <w:rsid w:val="00E23694"/>
    <w:rsid w:val="00E30D81"/>
    <w:rsid w:val="00E35D35"/>
    <w:rsid w:val="00E404C9"/>
    <w:rsid w:val="00E41B7D"/>
    <w:rsid w:val="00E428F4"/>
    <w:rsid w:val="00E433D3"/>
    <w:rsid w:val="00E451FE"/>
    <w:rsid w:val="00E455F6"/>
    <w:rsid w:val="00E504DB"/>
    <w:rsid w:val="00E52E4D"/>
    <w:rsid w:val="00E540C1"/>
    <w:rsid w:val="00E5490D"/>
    <w:rsid w:val="00E54D6C"/>
    <w:rsid w:val="00E56356"/>
    <w:rsid w:val="00E579BE"/>
    <w:rsid w:val="00E60DB7"/>
    <w:rsid w:val="00E62DB0"/>
    <w:rsid w:val="00E64E3A"/>
    <w:rsid w:val="00E659A0"/>
    <w:rsid w:val="00E67A48"/>
    <w:rsid w:val="00E702F5"/>
    <w:rsid w:val="00E71E28"/>
    <w:rsid w:val="00E761B4"/>
    <w:rsid w:val="00E80F70"/>
    <w:rsid w:val="00E8254C"/>
    <w:rsid w:val="00E84DB2"/>
    <w:rsid w:val="00E92F7A"/>
    <w:rsid w:val="00E972C3"/>
    <w:rsid w:val="00EA1C36"/>
    <w:rsid w:val="00EA5D8E"/>
    <w:rsid w:val="00EB39B4"/>
    <w:rsid w:val="00EB4EAF"/>
    <w:rsid w:val="00EB5D2C"/>
    <w:rsid w:val="00EB7A79"/>
    <w:rsid w:val="00EB7F5F"/>
    <w:rsid w:val="00EC0587"/>
    <w:rsid w:val="00EC0ED8"/>
    <w:rsid w:val="00EC2936"/>
    <w:rsid w:val="00EC4905"/>
    <w:rsid w:val="00EC4CD2"/>
    <w:rsid w:val="00EC633E"/>
    <w:rsid w:val="00ED0C3A"/>
    <w:rsid w:val="00ED0D61"/>
    <w:rsid w:val="00ED33CD"/>
    <w:rsid w:val="00ED6C5D"/>
    <w:rsid w:val="00ED7D44"/>
    <w:rsid w:val="00EE1D59"/>
    <w:rsid w:val="00EE702C"/>
    <w:rsid w:val="00EE76B7"/>
    <w:rsid w:val="00EF6588"/>
    <w:rsid w:val="00EF7F1A"/>
    <w:rsid w:val="00F0188F"/>
    <w:rsid w:val="00F01FB9"/>
    <w:rsid w:val="00F029D8"/>
    <w:rsid w:val="00F03DB2"/>
    <w:rsid w:val="00F0568D"/>
    <w:rsid w:val="00F071D7"/>
    <w:rsid w:val="00F10DEF"/>
    <w:rsid w:val="00F11859"/>
    <w:rsid w:val="00F1489D"/>
    <w:rsid w:val="00F14B90"/>
    <w:rsid w:val="00F21955"/>
    <w:rsid w:val="00F2382A"/>
    <w:rsid w:val="00F23D6F"/>
    <w:rsid w:val="00F24060"/>
    <w:rsid w:val="00F34F42"/>
    <w:rsid w:val="00F374A3"/>
    <w:rsid w:val="00F37F3A"/>
    <w:rsid w:val="00F40F75"/>
    <w:rsid w:val="00F43220"/>
    <w:rsid w:val="00F45AC2"/>
    <w:rsid w:val="00F4770C"/>
    <w:rsid w:val="00F527DF"/>
    <w:rsid w:val="00F55907"/>
    <w:rsid w:val="00F567A6"/>
    <w:rsid w:val="00F57EB8"/>
    <w:rsid w:val="00F6053D"/>
    <w:rsid w:val="00F62BDA"/>
    <w:rsid w:val="00F65664"/>
    <w:rsid w:val="00F658FD"/>
    <w:rsid w:val="00F66CE7"/>
    <w:rsid w:val="00F71D7F"/>
    <w:rsid w:val="00F72DCB"/>
    <w:rsid w:val="00F74374"/>
    <w:rsid w:val="00F75C45"/>
    <w:rsid w:val="00F764EE"/>
    <w:rsid w:val="00F77E18"/>
    <w:rsid w:val="00F81213"/>
    <w:rsid w:val="00F81B96"/>
    <w:rsid w:val="00F839B4"/>
    <w:rsid w:val="00F83CBF"/>
    <w:rsid w:val="00F85F4E"/>
    <w:rsid w:val="00F90344"/>
    <w:rsid w:val="00F9327C"/>
    <w:rsid w:val="00F93687"/>
    <w:rsid w:val="00F95875"/>
    <w:rsid w:val="00F95ADC"/>
    <w:rsid w:val="00F96B84"/>
    <w:rsid w:val="00F96DDC"/>
    <w:rsid w:val="00F9793E"/>
    <w:rsid w:val="00FA22EB"/>
    <w:rsid w:val="00FA24CE"/>
    <w:rsid w:val="00FA51DE"/>
    <w:rsid w:val="00FA5ECD"/>
    <w:rsid w:val="00FA5F9A"/>
    <w:rsid w:val="00FA60AF"/>
    <w:rsid w:val="00FA6655"/>
    <w:rsid w:val="00FB237E"/>
    <w:rsid w:val="00FB5A89"/>
    <w:rsid w:val="00FB61C8"/>
    <w:rsid w:val="00FC233A"/>
    <w:rsid w:val="00FC3BC4"/>
    <w:rsid w:val="00FC466C"/>
    <w:rsid w:val="00FC78AC"/>
    <w:rsid w:val="00FC79E6"/>
    <w:rsid w:val="00FD0BF4"/>
    <w:rsid w:val="00FD276D"/>
    <w:rsid w:val="00FD463D"/>
    <w:rsid w:val="00FD79BC"/>
    <w:rsid w:val="00FE539B"/>
    <w:rsid w:val="00FE6138"/>
    <w:rsid w:val="00FE63AC"/>
    <w:rsid w:val="00FF1A01"/>
    <w:rsid w:val="00FF1E9E"/>
    <w:rsid w:val="00FF1ED0"/>
    <w:rsid w:val="00FF241F"/>
    <w:rsid w:val="00FF2B50"/>
    <w:rsid w:val="00FF795A"/>
    <w:rsid w:val="019367CF"/>
    <w:rsid w:val="01F77570"/>
    <w:rsid w:val="020C0B66"/>
    <w:rsid w:val="020C66EF"/>
    <w:rsid w:val="026954E1"/>
    <w:rsid w:val="028A5D82"/>
    <w:rsid w:val="042839DF"/>
    <w:rsid w:val="066E00E7"/>
    <w:rsid w:val="06CD2DDD"/>
    <w:rsid w:val="06E740D1"/>
    <w:rsid w:val="06F21D26"/>
    <w:rsid w:val="08C3745F"/>
    <w:rsid w:val="08CB066E"/>
    <w:rsid w:val="0A4D5A88"/>
    <w:rsid w:val="0A570314"/>
    <w:rsid w:val="0AC37758"/>
    <w:rsid w:val="0ADA1283"/>
    <w:rsid w:val="0AF618DB"/>
    <w:rsid w:val="0B3E0BF1"/>
    <w:rsid w:val="0BBF6171"/>
    <w:rsid w:val="0BD91D4B"/>
    <w:rsid w:val="0EE859DF"/>
    <w:rsid w:val="0F405A07"/>
    <w:rsid w:val="0F6F0AD3"/>
    <w:rsid w:val="12241849"/>
    <w:rsid w:val="12B106E1"/>
    <w:rsid w:val="12F9465F"/>
    <w:rsid w:val="13AD4A86"/>
    <w:rsid w:val="14B02F8D"/>
    <w:rsid w:val="15514D9E"/>
    <w:rsid w:val="15F74B90"/>
    <w:rsid w:val="16290DB7"/>
    <w:rsid w:val="1739359F"/>
    <w:rsid w:val="173A130E"/>
    <w:rsid w:val="180D3FCC"/>
    <w:rsid w:val="1844426F"/>
    <w:rsid w:val="18765D4C"/>
    <w:rsid w:val="19502AFF"/>
    <w:rsid w:val="19627D59"/>
    <w:rsid w:val="1A323A0D"/>
    <w:rsid w:val="1A6C5716"/>
    <w:rsid w:val="1AE21603"/>
    <w:rsid w:val="1B794A2C"/>
    <w:rsid w:val="1BDE714B"/>
    <w:rsid w:val="1E0B1C21"/>
    <w:rsid w:val="1E891C93"/>
    <w:rsid w:val="1F291E28"/>
    <w:rsid w:val="2000527E"/>
    <w:rsid w:val="207B2B57"/>
    <w:rsid w:val="20BD62E4"/>
    <w:rsid w:val="24730077"/>
    <w:rsid w:val="25292B62"/>
    <w:rsid w:val="25FA451E"/>
    <w:rsid w:val="261238CD"/>
    <w:rsid w:val="26606A77"/>
    <w:rsid w:val="289A78BF"/>
    <w:rsid w:val="28DE3C83"/>
    <w:rsid w:val="2E341724"/>
    <w:rsid w:val="2E5F7614"/>
    <w:rsid w:val="2E9D638E"/>
    <w:rsid w:val="30980BBB"/>
    <w:rsid w:val="31F6203D"/>
    <w:rsid w:val="325D6F50"/>
    <w:rsid w:val="33E5255E"/>
    <w:rsid w:val="34935693"/>
    <w:rsid w:val="34997C01"/>
    <w:rsid w:val="34BA22CF"/>
    <w:rsid w:val="34D03743"/>
    <w:rsid w:val="35296F48"/>
    <w:rsid w:val="357A4CF1"/>
    <w:rsid w:val="36EE78CA"/>
    <w:rsid w:val="371B5AD0"/>
    <w:rsid w:val="371C7816"/>
    <w:rsid w:val="3799391C"/>
    <w:rsid w:val="379A6787"/>
    <w:rsid w:val="38590FD6"/>
    <w:rsid w:val="38BD5663"/>
    <w:rsid w:val="38C62F9A"/>
    <w:rsid w:val="39560C99"/>
    <w:rsid w:val="397F3F36"/>
    <w:rsid w:val="398C5A35"/>
    <w:rsid w:val="39D93748"/>
    <w:rsid w:val="3A1F4058"/>
    <w:rsid w:val="3BF62083"/>
    <w:rsid w:val="3C444FDC"/>
    <w:rsid w:val="3C691374"/>
    <w:rsid w:val="3CCF4F26"/>
    <w:rsid w:val="3DE9514C"/>
    <w:rsid w:val="3DFE308E"/>
    <w:rsid w:val="3E3166EC"/>
    <w:rsid w:val="3E7964D0"/>
    <w:rsid w:val="3F3C38F2"/>
    <w:rsid w:val="3F521997"/>
    <w:rsid w:val="3FA1680A"/>
    <w:rsid w:val="3FFF4F0A"/>
    <w:rsid w:val="402805DC"/>
    <w:rsid w:val="40443639"/>
    <w:rsid w:val="412A3AB2"/>
    <w:rsid w:val="414175DC"/>
    <w:rsid w:val="41450FD9"/>
    <w:rsid w:val="422E75D1"/>
    <w:rsid w:val="4249195D"/>
    <w:rsid w:val="4259608C"/>
    <w:rsid w:val="453B4A34"/>
    <w:rsid w:val="469814BD"/>
    <w:rsid w:val="46F770CC"/>
    <w:rsid w:val="47AD4C9A"/>
    <w:rsid w:val="4824604A"/>
    <w:rsid w:val="48AB7396"/>
    <w:rsid w:val="48C35D0C"/>
    <w:rsid w:val="48FF1AD9"/>
    <w:rsid w:val="49007D60"/>
    <w:rsid w:val="4A0D2B83"/>
    <w:rsid w:val="4A7060FF"/>
    <w:rsid w:val="4B58121B"/>
    <w:rsid w:val="4D996326"/>
    <w:rsid w:val="4DDF2C32"/>
    <w:rsid w:val="4DFB2086"/>
    <w:rsid w:val="4DFF0B1C"/>
    <w:rsid w:val="4E226572"/>
    <w:rsid w:val="4F2C30EB"/>
    <w:rsid w:val="4F5B45B8"/>
    <w:rsid w:val="4F621155"/>
    <w:rsid w:val="4FFA4F97"/>
    <w:rsid w:val="501F0559"/>
    <w:rsid w:val="50275D12"/>
    <w:rsid w:val="50566671"/>
    <w:rsid w:val="513812B8"/>
    <w:rsid w:val="513B39A3"/>
    <w:rsid w:val="51432318"/>
    <w:rsid w:val="5144471C"/>
    <w:rsid w:val="51BD002A"/>
    <w:rsid w:val="52BD3976"/>
    <w:rsid w:val="52E00F85"/>
    <w:rsid w:val="52E26C95"/>
    <w:rsid w:val="539D0113"/>
    <w:rsid w:val="53C658BC"/>
    <w:rsid w:val="54F76FCD"/>
    <w:rsid w:val="567E6227"/>
    <w:rsid w:val="56FF2EC8"/>
    <w:rsid w:val="570D1A54"/>
    <w:rsid w:val="5722224D"/>
    <w:rsid w:val="574B7855"/>
    <w:rsid w:val="586B2DF8"/>
    <w:rsid w:val="58711B6E"/>
    <w:rsid w:val="58DC7930"/>
    <w:rsid w:val="593E74E0"/>
    <w:rsid w:val="5A1960FE"/>
    <w:rsid w:val="5AD96D0B"/>
    <w:rsid w:val="5AEF4B0A"/>
    <w:rsid w:val="5AF80C79"/>
    <w:rsid w:val="5C2969BF"/>
    <w:rsid w:val="5CE934CC"/>
    <w:rsid w:val="5F6758BD"/>
    <w:rsid w:val="5FA200D9"/>
    <w:rsid w:val="5FC67E88"/>
    <w:rsid w:val="60570AD2"/>
    <w:rsid w:val="629B6165"/>
    <w:rsid w:val="62A034A6"/>
    <w:rsid w:val="62B407C8"/>
    <w:rsid w:val="63103FBE"/>
    <w:rsid w:val="65650B0C"/>
    <w:rsid w:val="657E70F2"/>
    <w:rsid w:val="660F2990"/>
    <w:rsid w:val="666F5074"/>
    <w:rsid w:val="67137C8C"/>
    <w:rsid w:val="67397CFB"/>
    <w:rsid w:val="678C23FE"/>
    <w:rsid w:val="67EC2FBF"/>
    <w:rsid w:val="67F72090"/>
    <w:rsid w:val="68FB0FF5"/>
    <w:rsid w:val="699F78DA"/>
    <w:rsid w:val="69AA358C"/>
    <w:rsid w:val="6A5A3838"/>
    <w:rsid w:val="6A8F566F"/>
    <w:rsid w:val="6A984619"/>
    <w:rsid w:val="6ABE370B"/>
    <w:rsid w:val="6ACD1811"/>
    <w:rsid w:val="6B9A63A2"/>
    <w:rsid w:val="6BCA0A92"/>
    <w:rsid w:val="6CF9436E"/>
    <w:rsid w:val="6E0D584D"/>
    <w:rsid w:val="6F037E5A"/>
    <w:rsid w:val="7025494F"/>
    <w:rsid w:val="70A37DCB"/>
    <w:rsid w:val="70D867D7"/>
    <w:rsid w:val="71BD009F"/>
    <w:rsid w:val="72451C4A"/>
    <w:rsid w:val="727D5888"/>
    <w:rsid w:val="73915281"/>
    <w:rsid w:val="73A34550"/>
    <w:rsid w:val="7508647F"/>
    <w:rsid w:val="75E21A83"/>
    <w:rsid w:val="760140DA"/>
    <w:rsid w:val="76342701"/>
    <w:rsid w:val="76683FE9"/>
    <w:rsid w:val="76C606AF"/>
    <w:rsid w:val="777728A5"/>
    <w:rsid w:val="781A1483"/>
    <w:rsid w:val="78CD7F7E"/>
    <w:rsid w:val="79163167"/>
    <w:rsid w:val="796E384C"/>
    <w:rsid w:val="79F37B44"/>
    <w:rsid w:val="7A396538"/>
    <w:rsid w:val="7C4F6CBA"/>
    <w:rsid w:val="7CC715E2"/>
    <w:rsid w:val="7CEC7261"/>
    <w:rsid w:val="7E1370A0"/>
    <w:rsid w:val="7F261691"/>
    <w:rsid w:val="7F623E3B"/>
    <w:rsid w:val="7FA62535"/>
    <w:rsid w:val="7FEA68B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beforeLines="30" w:afterLines="30" w:line="288" w:lineRule="auto"/>
      <w:ind w:firstLine="200" w:firstLineChars="200"/>
      <w:jc w:val="both"/>
    </w:pPr>
    <w:rPr>
      <w:rFonts w:ascii="Arial" w:hAnsi="Arial" w:eastAsia="微软雅黑" w:cstheme="minorBidi"/>
      <w:kern w:val="2"/>
      <w:sz w:val="21"/>
      <w:szCs w:val="22"/>
      <w:lang w:val="en-US" w:eastAsia="zh-CN" w:bidi="ar-SA"/>
    </w:rPr>
  </w:style>
  <w:style w:type="paragraph" w:styleId="2">
    <w:name w:val="heading 1"/>
    <w:basedOn w:val="3"/>
    <w:next w:val="1"/>
    <w:link w:val="30"/>
    <w:qFormat/>
    <w:uiPriority w:val="9"/>
    <w:pPr>
      <w:keepNext/>
      <w:keepLines/>
      <w:numPr>
        <w:ilvl w:val="0"/>
        <w:numId w:val="1"/>
      </w:numPr>
      <w:spacing w:beforeLines="0" w:afterLines="80" w:line="240" w:lineRule="auto"/>
      <w:ind w:firstLineChars="0"/>
      <w:outlineLvl w:val="0"/>
    </w:pPr>
    <w:rPr>
      <w:bCs/>
      <w:kern w:val="44"/>
      <w:sz w:val="36"/>
      <w:szCs w:val="44"/>
    </w:rPr>
  </w:style>
  <w:style w:type="paragraph" w:styleId="4">
    <w:name w:val="heading 2"/>
    <w:basedOn w:val="1"/>
    <w:next w:val="1"/>
    <w:link w:val="23"/>
    <w:unhideWhenUsed/>
    <w:qFormat/>
    <w:uiPriority w:val="9"/>
    <w:pPr>
      <w:keepNext/>
      <w:keepLines/>
      <w:numPr>
        <w:ilvl w:val="1"/>
        <w:numId w:val="2"/>
      </w:numPr>
      <w:spacing w:before="93" w:after="93" w:line="415" w:lineRule="auto"/>
      <w:ind w:firstLineChars="0"/>
      <w:outlineLvl w:val="1"/>
    </w:pPr>
    <w:rPr>
      <w:rFonts w:asciiTheme="majorHAnsi" w:hAnsiTheme="majorHAnsi" w:eastAsiaTheme="majorEastAsia" w:cstheme="majorBidi"/>
      <w:b/>
      <w:bCs/>
      <w:sz w:val="32"/>
      <w:szCs w:val="32"/>
    </w:rPr>
  </w:style>
  <w:style w:type="paragraph" w:styleId="5">
    <w:name w:val="heading 3"/>
    <w:basedOn w:val="1"/>
    <w:next w:val="1"/>
    <w:link w:val="38"/>
    <w:unhideWhenUsed/>
    <w:qFormat/>
    <w:uiPriority w:val="9"/>
    <w:pPr>
      <w:keepNext/>
      <w:keepLines/>
      <w:numPr>
        <w:ilvl w:val="2"/>
        <w:numId w:val="2"/>
      </w:numPr>
      <w:spacing w:beforeLines="100" w:afterLines="0" w:line="360" w:lineRule="auto"/>
      <w:ind w:firstLineChars="0"/>
      <w:outlineLvl w:val="2"/>
    </w:pPr>
    <w:rPr>
      <w:b/>
      <w:bCs/>
      <w:sz w:val="2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44"/>
    <w:semiHidden/>
    <w:unhideWhenUsed/>
    <w:qFormat/>
    <w:uiPriority w:val="99"/>
    <w:pPr>
      <w:spacing w:after="120"/>
    </w:pPr>
  </w:style>
  <w:style w:type="paragraph" w:styleId="6">
    <w:name w:val="caption"/>
    <w:basedOn w:val="1"/>
    <w:next w:val="1"/>
    <w:unhideWhenUsed/>
    <w:qFormat/>
    <w:uiPriority w:val="35"/>
    <w:rPr>
      <w:rFonts w:eastAsia="黑体" w:asciiTheme="majorHAnsi" w:hAnsiTheme="majorHAnsi" w:cstheme="majorBidi"/>
      <w:sz w:val="20"/>
      <w:szCs w:val="20"/>
    </w:rPr>
  </w:style>
  <w:style w:type="paragraph" w:styleId="7">
    <w:name w:val="Document Map"/>
    <w:basedOn w:val="1"/>
    <w:link w:val="37"/>
    <w:semiHidden/>
    <w:unhideWhenUsed/>
    <w:qFormat/>
    <w:uiPriority w:val="99"/>
    <w:rPr>
      <w:rFonts w:ascii="宋体" w:eastAsia="宋体"/>
      <w:sz w:val="18"/>
      <w:szCs w:val="18"/>
    </w:rPr>
  </w:style>
  <w:style w:type="paragraph" w:styleId="8">
    <w:name w:val="toc 3"/>
    <w:basedOn w:val="1"/>
    <w:next w:val="1"/>
    <w:unhideWhenUsed/>
    <w:qFormat/>
    <w:uiPriority w:val="39"/>
    <w:pPr>
      <w:tabs>
        <w:tab w:val="right" w:leader="dot" w:pos="10104"/>
      </w:tabs>
      <w:adjustRightInd/>
      <w:snapToGrid/>
      <w:spacing w:beforeLines="0" w:afterLines="0" w:line="240" w:lineRule="auto"/>
      <w:ind w:left="1470" w:leftChars="700" w:firstLine="0" w:firstLineChars="0"/>
    </w:pPr>
    <w:rPr>
      <w:sz w:val="18"/>
    </w:rPr>
  </w:style>
  <w:style w:type="paragraph" w:styleId="9">
    <w:name w:val="Body Text Indent 2"/>
    <w:basedOn w:val="1"/>
    <w:semiHidden/>
    <w:unhideWhenUsed/>
    <w:qFormat/>
    <w:uiPriority w:val="99"/>
    <w:pPr>
      <w:spacing w:after="120" w:line="480" w:lineRule="auto"/>
      <w:ind w:left="420" w:leftChars="200"/>
    </w:pPr>
  </w:style>
  <w:style w:type="paragraph" w:styleId="10">
    <w:name w:val="Balloon Text"/>
    <w:basedOn w:val="1"/>
    <w:link w:val="24"/>
    <w:semiHidden/>
    <w:unhideWhenUsed/>
    <w:qFormat/>
    <w:uiPriority w:val="99"/>
    <w:rPr>
      <w:sz w:val="18"/>
      <w:szCs w:val="18"/>
    </w:rPr>
  </w:style>
  <w:style w:type="paragraph" w:styleId="11">
    <w:name w:val="footer"/>
    <w:basedOn w:val="1"/>
    <w:link w:val="26"/>
    <w:unhideWhenUsed/>
    <w:qFormat/>
    <w:uiPriority w:val="0"/>
    <w:pPr>
      <w:tabs>
        <w:tab w:val="center" w:pos="4153"/>
        <w:tab w:val="right" w:pos="8306"/>
      </w:tabs>
      <w:jc w:val="left"/>
    </w:pPr>
    <w:rPr>
      <w:sz w:val="18"/>
      <w:szCs w:val="18"/>
    </w:rPr>
  </w:style>
  <w:style w:type="paragraph" w:styleId="12">
    <w:name w:val="header"/>
    <w:basedOn w:val="1"/>
    <w:link w:val="25"/>
    <w:unhideWhenUsed/>
    <w:qFormat/>
    <w:uiPriority w:val="0"/>
    <w:pPr>
      <w:pBdr>
        <w:bottom w:val="single" w:color="auto" w:sz="6" w:space="1"/>
      </w:pBdr>
      <w:tabs>
        <w:tab w:val="center" w:pos="4153"/>
        <w:tab w:val="right" w:pos="8306"/>
      </w:tabs>
      <w:jc w:val="center"/>
    </w:pPr>
    <w:rPr>
      <w:sz w:val="18"/>
      <w:szCs w:val="18"/>
    </w:rPr>
  </w:style>
  <w:style w:type="paragraph" w:styleId="13">
    <w:name w:val="toc 1"/>
    <w:basedOn w:val="1"/>
    <w:next w:val="1"/>
    <w:unhideWhenUsed/>
    <w:qFormat/>
    <w:uiPriority w:val="39"/>
    <w:pPr>
      <w:tabs>
        <w:tab w:val="right" w:leader="dot" w:pos="10104"/>
      </w:tabs>
      <w:adjustRightInd/>
      <w:snapToGrid/>
      <w:spacing w:beforeLines="0" w:afterLines="0" w:line="240" w:lineRule="auto"/>
      <w:ind w:firstLine="560" w:firstLineChars="0"/>
    </w:pPr>
    <w:rPr>
      <w:sz w:val="28"/>
    </w:rPr>
  </w:style>
  <w:style w:type="paragraph" w:styleId="14">
    <w:name w:val="Subtitle"/>
    <w:basedOn w:val="1"/>
    <w:next w:val="1"/>
    <w:link w:val="29"/>
    <w:qFormat/>
    <w:uiPriority w:val="11"/>
    <w:pPr>
      <w:spacing w:beforeLines="0" w:afterLines="50" w:line="240" w:lineRule="auto"/>
      <w:ind w:firstLine="0" w:firstLineChars="0"/>
      <w:jc w:val="center"/>
      <w:outlineLvl w:val="1"/>
    </w:pPr>
    <w:rPr>
      <w:rFonts w:cstheme="majorBidi"/>
      <w:bCs/>
      <w:kern w:val="28"/>
      <w:sz w:val="44"/>
      <w:szCs w:val="32"/>
    </w:rPr>
  </w:style>
  <w:style w:type="paragraph" w:styleId="15">
    <w:name w:val="toc 2"/>
    <w:basedOn w:val="1"/>
    <w:next w:val="1"/>
    <w:unhideWhenUsed/>
    <w:qFormat/>
    <w:uiPriority w:val="39"/>
    <w:pPr>
      <w:tabs>
        <w:tab w:val="right" w:leader="dot" w:pos="10104"/>
      </w:tabs>
      <w:adjustRightInd/>
      <w:snapToGrid/>
      <w:spacing w:beforeLines="0" w:afterLines="0" w:line="240" w:lineRule="auto"/>
      <w:ind w:left="1050" w:leftChars="500" w:firstLine="0" w:firstLineChars="0"/>
    </w:pPr>
  </w:style>
  <w:style w:type="paragraph" w:styleId="16">
    <w:name w:val="Normal (Web)"/>
    <w:basedOn w:val="1"/>
    <w:qFormat/>
    <w:uiPriority w:val="99"/>
    <w:pPr>
      <w:widowControl/>
      <w:adjustRightInd/>
      <w:snapToGrid/>
      <w:spacing w:beforeLines="0" w:beforeAutospacing="1" w:afterLines="0" w:afterAutospacing="1" w:line="240" w:lineRule="auto"/>
      <w:ind w:firstLine="0" w:firstLineChars="0"/>
      <w:jc w:val="left"/>
    </w:pPr>
    <w:rPr>
      <w:rFonts w:ascii="宋体" w:hAnsi="宋体" w:eastAsia="宋体" w:cs="宋体"/>
      <w:kern w:val="0"/>
      <w:sz w:val="24"/>
      <w:szCs w:val="24"/>
    </w:rPr>
  </w:style>
  <w:style w:type="paragraph" w:styleId="17">
    <w:name w:val="Title"/>
    <w:basedOn w:val="1"/>
    <w:next w:val="1"/>
    <w:link w:val="28"/>
    <w:qFormat/>
    <w:uiPriority w:val="10"/>
    <w:pPr>
      <w:spacing w:afterLines="50" w:line="240" w:lineRule="auto"/>
      <w:ind w:firstLine="0" w:firstLineChars="0"/>
      <w:jc w:val="center"/>
      <w:outlineLvl w:val="0"/>
    </w:pPr>
    <w:rPr>
      <w:rFonts w:cstheme="majorBidi"/>
      <w:b/>
      <w:bCs/>
      <w:sz w:val="44"/>
      <w:szCs w:val="32"/>
    </w:rPr>
  </w:style>
  <w:style w:type="character" w:styleId="20">
    <w:name w:val="Strong"/>
    <w:basedOn w:val="19"/>
    <w:qFormat/>
    <w:uiPriority w:val="22"/>
    <w:rPr>
      <w:b/>
      <w:bCs/>
    </w:rPr>
  </w:style>
  <w:style w:type="character" w:styleId="21">
    <w:name w:val="Emphasis"/>
    <w:basedOn w:val="19"/>
    <w:qFormat/>
    <w:uiPriority w:val="20"/>
    <w:rPr>
      <w:b/>
      <w:iCs/>
      <w:color w:val="D70029"/>
    </w:rPr>
  </w:style>
  <w:style w:type="character" w:styleId="22">
    <w:name w:val="Hyperlink"/>
    <w:basedOn w:val="19"/>
    <w:unhideWhenUsed/>
    <w:qFormat/>
    <w:uiPriority w:val="99"/>
    <w:rPr>
      <w:color w:val="0000FF" w:themeColor="hyperlink"/>
      <w:u w:val="single"/>
    </w:rPr>
  </w:style>
  <w:style w:type="character" w:customStyle="1" w:styleId="23">
    <w:name w:val="标题 2 字符"/>
    <w:basedOn w:val="19"/>
    <w:link w:val="4"/>
    <w:qFormat/>
    <w:uiPriority w:val="9"/>
    <w:rPr>
      <w:rFonts w:asciiTheme="majorHAnsi" w:hAnsiTheme="majorHAnsi" w:eastAsiaTheme="majorEastAsia" w:cstheme="majorBidi"/>
      <w:b/>
      <w:bCs/>
      <w:sz w:val="32"/>
      <w:szCs w:val="32"/>
    </w:rPr>
  </w:style>
  <w:style w:type="character" w:customStyle="1" w:styleId="24">
    <w:name w:val="批注框文本 字符"/>
    <w:basedOn w:val="19"/>
    <w:link w:val="10"/>
    <w:semiHidden/>
    <w:qFormat/>
    <w:uiPriority w:val="99"/>
    <w:rPr>
      <w:sz w:val="18"/>
      <w:szCs w:val="18"/>
    </w:rPr>
  </w:style>
  <w:style w:type="character" w:customStyle="1" w:styleId="25">
    <w:name w:val="页眉 字符"/>
    <w:basedOn w:val="19"/>
    <w:link w:val="12"/>
    <w:semiHidden/>
    <w:qFormat/>
    <w:uiPriority w:val="99"/>
    <w:rPr>
      <w:sz w:val="18"/>
      <w:szCs w:val="18"/>
    </w:rPr>
  </w:style>
  <w:style w:type="character" w:customStyle="1" w:styleId="26">
    <w:name w:val="页脚 字符"/>
    <w:basedOn w:val="19"/>
    <w:link w:val="11"/>
    <w:qFormat/>
    <w:uiPriority w:val="0"/>
    <w:rPr>
      <w:sz w:val="18"/>
      <w:szCs w:val="18"/>
    </w:rPr>
  </w:style>
  <w:style w:type="character" w:customStyle="1" w:styleId="27">
    <w:name w:val="书籍标题1"/>
    <w:basedOn w:val="19"/>
    <w:qFormat/>
    <w:uiPriority w:val="33"/>
    <w:rPr>
      <w:b/>
      <w:bCs/>
      <w:smallCaps/>
      <w:spacing w:val="5"/>
    </w:rPr>
  </w:style>
  <w:style w:type="character" w:customStyle="1" w:styleId="28">
    <w:name w:val="标题 字符"/>
    <w:basedOn w:val="19"/>
    <w:link w:val="17"/>
    <w:qFormat/>
    <w:uiPriority w:val="10"/>
    <w:rPr>
      <w:rFonts w:ascii="Arial" w:hAnsi="Arial" w:eastAsia="微软雅黑" w:cstheme="majorBidi"/>
      <w:b/>
      <w:bCs/>
      <w:sz w:val="44"/>
      <w:szCs w:val="32"/>
    </w:rPr>
  </w:style>
  <w:style w:type="character" w:customStyle="1" w:styleId="29">
    <w:name w:val="副标题 字符"/>
    <w:basedOn w:val="19"/>
    <w:link w:val="14"/>
    <w:qFormat/>
    <w:uiPriority w:val="11"/>
    <w:rPr>
      <w:rFonts w:ascii="Arial" w:hAnsi="Arial" w:eastAsia="微软雅黑" w:cstheme="majorBidi"/>
      <w:bCs/>
      <w:kern w:val="28"/>
      <w:sz w:val="44"/>
      <w:szCs w:val="32"/>
    </w:rPr>
  </w:style>
  <w:style w:type="character" w:customStyle="1" w:styleId="30">
    <w:name w:val="标题 1 字符"/>
    <w:basedOn w:val="19"/>
    <w:link w:val="2"/>
    <w:qFormat/>
    <w:uiPriority w:val="9"/>
    <w:rPr>
      <w:rFonts w:ascii="Arial" w:hAnsi="Arial" w:eastAsia="微软雅黑"/>
      <w:bCs/>
      <w:kern w:val="44"/>
      <w:sz w:val="36"/>
      <w:szCs w:val="44"/>
    </w:rPr>
  </w:style>
  <w:style w:type="paragraph" w:styleId="31">
    <w:name w:val="List Paragraph"/>
    <w:basedOn w:val="1"/>
    <w:link w:val="34"/>
    <w:qFormat/>
    <w:uiPriority w:val="34"/>
    <w:pPr>
      <w:ind w:firstLine="420"/>
    </w:pPr>
  </w:style>
  <w:style w:type="paragraph" w:customStyle="1" w:styleId="32">
    <w:name w:val="正文数字列表"/>
    <w:basedOn w:val="31"/>
    <w:link w:val="35"/>
    <w:qFormat/>
    <w:uiPriority w:val="0"/>
    <w:pPr>
      <w:numPr>
        <w:ilvl w:val="0"/>
        <w:numId w:val="3"/>
      </w:numPr>
      <w:ind w:firstLine="0" w:firstLineChars="0"/>
    </w:pPr>
  </w:style>
  <w:style w:type="paragraph" w:customStyle="1" w:styleId="33">
    <w:name w:val="正文列表样式"/>
    <w:basedOn w:val="31"/>
    <w:link w:val="36"/>
    <w:qFormat/>
    <w:uiPriority w:val="0"/>
    <w:pPr>
      <w:numPr>
        <w:ilvl w:val="0"/>
        <w:numId w:val="4"/>
      </w:numPr>
      <w:spacing w:before="93" w:after="93"/>
      <w:ind w:firstLine="0" w:firstLineChars="0"/>
    </w:pPr>
  </w:style>
  <w:style w:type="character" w:customStyle="1" w:styleId="34">
    <w:name w:val="列表段落 字符"/>
    <w:basedOn w:val="19"/>
    <w:link w:val="31"/>
    <w:qFormat/>
    <w:uiPriority w:val="34"/>
    <w:rPr>
      <w:rFonts w:ascii="Arial" w:hAnsi="Arial" w:eastAsia="微软雅黑"/>
    </w:rPr>
  </w:style>
  <w:style w:type="character" w:customStyle="1" w:styleId="35">
    <w:name w:val="正文数字列表 Char"/>
    <w:basedOn w:val="34"/>
    <w:link w:val="32"/>
    <w:qFormat/>
    <w:uiPriority w:val="0"/>
    <w:rPr>
      <w:rFonts w:ascii="Arial" w:hAnsi="Arial" w:eastAsia="微软雅黑"/>
    </w:rPr>
  </w:style>
  <w:style w:type="character" w:customStyle="1" w:styleId="36">
    <w:name w:val="正文列表样式 Char"/>
    <w:basedOn w:val="34"/>
    <w:link w:val="33"/>
    <w:qFormat/>
    <w:uiPriority w:val="0"/>
    <w:rPr>
      <w:rFonts w:ascii="Arial" w:hAnsi="Arial" w:eastAsia="微软雅黑"/>
    </w:rPr>
  </w:style>
  <w:style w:type="character" w:customStyle="1" w:styleId="37">
    <w:name w:val="文档结构图 字符"/>
    <w:basedOn w:val="19"/>
    <w:link w:val="7"/>
    <w:semiHidden/>
    <w:qFormat/>
    <w:uiPriority w:val="99"/>
    <w:rPr>
      <w:rFonts w:ascii="宋体" w:hAnsi="Arial" w:eastAsia="宋体"/>
      <w:sz w:val="18"/>
      <w:szCs w:val="18"/>
    </w:rPr>
  </w:style>
  <w:style w:type="character" w:customStyle="1" w:styleId="38">
    <w:name w:val="标题 3 字符"/>
    <w:basedOn w:val="19"/>
    <w:link w:val="5"/>
    <w:qFormat/>
    <w:uiPriority w:val="9"/>
    <w:rPr>
      <w:rFonts w:ascii="Arial" w:hAnsi="Arial" w:eastAsia="微软雅黑"/>
      <w:b/>
      <w:bCs/>
      <w:sz w:val="22"/>
      <w:szCs w:val="32"/>
    </w:rPr>
  </w:style>
  <w:style w:type="paragraph" w:customStyle="1" w:styleId="39">
    <w:name w:val="TOC 标题1"/>
    <w:basedOn w:val="2"/>
    <w:next w:val="1"/>
    <w:semiHidden/>
    <w:unhideWhenUsed/>
    <w:qFormat/>
    <w:uiPriority w:val="39"/>
    <w:pPr>
      <w:widowControl/>
      <w:numPr>
        <w:numId w:val="0"/>
      </w:numPr>
      <w:adjustRightInd/>
      <w:snapToGrid/>
      <w:spacing w:before="480" w:afterLines="0" w:line="276" w:lineRule="auto"/>
      <w:jc w:val="left"/>
      <w:outlineLvl w:val="9"/>
    </w:pPr>
    <w:rPr>
      <w:rFonts w:asciiTheme="majorHAnsi" w:hAnsiTheme="majorHAnsi" w:eastAsiaTheme="majorEastAsia" w:cstheme="majorBidi"/>
      <w:b/>
      <w:color w:val="366091" w:themeColor="accent1" w:themeShade="BF"/>
      <w:kern w:val="0"/>
      <w:sz w:val="28"/>
      <w:szCs w:val="28"/>
    </w:rPr>
  </w:style>
  <w:style w:type="paragraph" w:customStyle="1" w:styleId="40">
    <w:name w:val="ht正文"/>
    <w:basedOn w:val="1"/>
    <w:link w:val="41"/>
    <w:qFormat/>
    <w:uiPriority w:val="0"/>
    <w:pPr>
      <w:adjustRightInd/>
      <w:snapToGrid/>
      <w:spacing w:before="93" w:after="93" w:line="360" w:lineRule="auto"/>
      <w:ind w:firstLine="480"/>
    </w:pPr>
    <w:rPr>
      <w:rFonts w:ascii="微软雅黑" w:hAnsi="微软雅黑" w:cs="Times New Roman"/>
      <w:bCs/>
      <w:iCs/>
      <w:sz w:val="24"/>
      <w:szCs w:val="24"/>
    </w:rPr>
  </w:style>
  <w:style w:type="character" w:customStyle="1" w:styleId="41">
    <w:name w:val="ht正文 Char"/>
    <w:basedOn w:val="19"/>
    <w:link w:val="40"/>
    <w:qFormat/>
    <w:uiPriority w:val="0"/>
    <w:rPr>
      <w:rFonts w:ascii="微软雅黑" w:hAnsi="微软雅黑" w:eastAsia="微软雅黑" w:cs="Times New Roman"/>
      <w:bCs/>
      <w:iCs/>
      <w:sz w:val="24"/>
      <w:szCs w:val="24"/>
    </w:rPr>
  </w:style>
  <w:style w:type="paragraph" w:customStyle="1" w:styleId="42">
    <w:name w:val="内容"/>
    <w:basedOn w:val="1"/>
    <w:qFormat/>
    <w:uiPriority w:val="0"/>
    <w:pPr>
      <w:adjustRightInd/>
      <w:snapToGrid/>
      <w:spacing w:beforeLines="0" w:afterLines="0" w:line="312" w:lineRule="auto"/>
      <w:ind w:firstLine="420"/>
    </w:pPr>
    <w:rPr>
      <w:rFonts w:eastAsia="幼圆" w:cs="Times New Roman"/>
      <w:szCs w:val="24"/>
    </w:rPr>
  </w:style>
  <w:style w:type="paragraph" w:customStyle="1" w:styleId="43">
    <w:name w:val="样式 正文文本 + 行距: 多倍行距 1.3 字行"/>
    <w:basedOn w:val="3"/>
    <w:qFormat/>
    <w:uiPriority w:val="0"/>
    <w:pPr>
      <w:autoSpaceDE w:val="0"/>
      <w:autoSpaceDN w:val="0"/>
      <w:snapToGrid/>
      <w:spacing w:beforeLines="0" w:afterLines="0" w:line="360" w:lineRule="auto"/>
      <w:ind w:firstLine="0" w:firstLineChars="0"/>
      <w:jc w:val="left"/>
    </w:pPr>
    <w:rPr>
      <w:rFonts w:eastAsia="宋体" w:cs="宋体"/>
      <w:kern w:val="0"/>
      <w:szCs w:val="21"/>
    </w:rPr>
  </w:style>
  <w:style w:type="character" w:customStyle="1" w:styleId="44">
    <w:name w:val="正文文本 字符"/>
    <w:basedOn w:val="19"/>
    <w:link w:val="3"/>
    <w:semiHidden/>
    <w:qFormat/>
    <w:uiPriority w:val="99"/>
    <w:rPr>
      <w:rFonts w:ascii="Arial" w:hAnsi="Arial" w:eastAsia="微软雅黑"/>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5" Type="http://schemas.openxmlformats.org/officeDocument/2006/relationships/fontTable" Target="fontTable.xml"/><Relationship Id="rId54" Type="http://schemas.openxmlformats.org/officeDocument/2006/relationships/customXml" Target="../customXml/item2.xml"/><Relationship Id="rId53" Type="http://schemas.openxmlformats.org/officeDocument/2006/relationships/numbering" Target="numbering.xml"/><Relationship Id="rId52" Type="http://schemas.openxmlformats.org/officeDocument/2006/relationships/customXml" Target="../customXml/item1.xml"/><Relationship Id="rId51" Type="http://schemas.openxmlformats.org/officeDocument/2006/relationships/image" Target="media/image35.png"/><Relationship Id="rId50" Type="http://schemas.openxmlformats.org/officeDocument/2006/relationships/image" Target="media/image34.png"/><Relationship Id="rId5" Type="http://schemas.openxmlformats.org/officeDocument/2006/relationships/header" Target="header3.xml"/><Relationship Id="rId49" Type="http://schemas.openxmlformats.org/officeDocument/2006/relationships/image" Target="media/image33.png"/><Relationship Id="rId48" Type="http://schemas.openxmlformats.org/officeDocument/2006/relationships/image" Target="media/image32.png"/><Relationship Id="rId47" Type="http://schemas.openxmlformats.org/officeDocument/2006/relationships/image" Target="media/image31.png"/><Relationship Id="rId46" Type="http://schemas.openxmlformats.org/officeDocument/2006/relationships/image" Target="media/image30.png"/><Relationship Id="rId45" Type="http://schemas.openxmlformats.org/officeDocument/2006/relationships/image" Target="media/image29.png"/><Relationship Id="rId44" Type="http://schemas.openxmlformats.org/officeDocument/2006/relationships/image" Target="media/image28.png"/><Relationship Id="rId43" Type="http://schemas.openxmlformats.org/officeDocument/2006/relationships/image" Target="media/image27.png"/><Relationship Id="rId42" Type="http://schemas.openxmlformats.org/officeDocument/2006/relationships/image" Target="media/image26.png"/><Relationship Id="rId41" Type="http://schemas.openxmlformats.org/officeDocument/2006/relationships/chart" Target="charts/chart1.xml"/><Relationship Id="rId40" Type="http://schemas.openxmlformats.org/officeDocument/2006/relationships/image" Target="media/image25.png"/><Relationship Id="rId4" Type="http://schemas.openxmlformats.org/officeDocument/2006/relationships/header" Target="header2.xml"/><Relationship Id="rId39" Type="http://schemas.openxmlformats.org/officeDocument/2006/relationships/image" Target="media/image24.png"/><Relationship Id="rId38" Type="http://schemas.openxmlformats.org/officeDocument/2006/relationships/image" Target="media/image23.png"/><Relationship Id="rId37" Type="http://schemas.openxmlformats.org/officeDocument/2006/relationships/image" Target="media/image22.png"/><Relationship Id="rId36" Type="http://schemas.openxmlformats.org/officeDocument/2006/relationships/image" Target="media/image21.png"/><Relationship Id="rId35" Type="http://schemas.openxmlformats.org/officeDocument/2006/relationships/image" Target="media/image20.png"/><Relationship Id="rId34" Type="http://schemas.openxmlformats.org/officeDocument/2006/relationships/image" Target="media/image19.png"/><Relationship Id="rId33" Type="http://schemas.openxmlformats.org/officeDocument/2006/relationships/image" Target="media/image18.png"/><Relationship Id="rId32" Type="http://schemas.openxmlformats.org/officeDocument/2006/relationships/image" Target="media/image17.png"/><Relationship Id="rId31" Type="http://schemas.openxmlformats.org/officeDocument/2006/relationships/image" Target="media/image16.png"/><Relationship Id="rId30" Type="http://schemas.openxmlformats.org/officeDocument/2006/relationships/image" Target="media/image15.png"/><Relationship Id="rId3" Type="http://schemas.openxmlformats.org/officeDocument/2006/relationships/header" Target="header1.xml"/><Relationship Id="rId29" Type="http://schemas.openxmlformats.org/officeDocument/2006/relationships/image" Target="media/image14.png"/><Relationship Id="rId28" Type="http://schemas.openxmlformats.org/officeDocument/2006/relationships/image" Target="media/image13.png"/><Relationship Id="rId27" Type="http://schemas.openxmlformats.org/officeDocument/2006/relationships/image" Target="media/image12.png"/><Relationship Id="rId26" Type="http://schemas.openxmlformats.org/officeDocument/2006/relationships/image" Target="media/image11.png"/><Relationship Id="rId25" Type="http://schemas.openxmlformats.org/officeDocument/2006/relationships/image" Target="media/image10.png"/><Relationship Id="rId24" Type="http://schemas.openxmlformats.org/officeDocument/2006/relationships/image" Target="media/image9.png"/><Relationship Id="rId23" Type="http://schemas.openxmlformats.org/officeDocument/2006/relationships/image" Target="media/image8.png"/><Relationship Id="rId22" Type="http://schemas.openxmlformats.org/officeDocument/2006/relationships/image" Target="media/image7.png"/><Relationship Id="rId21" Type="http://schemas.openxmlformats.org/officeDocument/2006/relationships/image" Target="media/image6.png"/><Relationship Id="rId20" Type="http://schemas.openxmlformats.org/officeDocument/2006/relationships/image" Target="media/image5.png"/><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表单数量统计</a:t>
            </a:r>
            <a:endParaRPr lang="zh-CN" altLang="en-US"/>
          </a:p>
        </c:rich>
      </c:tx>
      <c:layout/>
      <c:overlay val="0"/>
      <c:spPr>
        <a:noFill/>
        <a:ln>
          <a:noFill/>
        </a:ln>
        <a:effectLst/>
      </c:spPr>
    </c:title>
    <c:autoTitleDeleted val="0"/>
    <c:plotArea>
      <c:layout/>
      <c:barChart>
        <c:barDir val="col"/>
        <c:grouping val="stacked"/>
        <c:varyColors val="0"/>
        <c:ser>
          <c:idx val="0"/>
          <c:order val="0"/>
          <c:tx>
            <c:strRef>
              <c:f>Sheet1!$B$1</c:f>
              <c:strCache>
                <c:ptCount val="1"/>
                <c:pt idx="0">
                  <c:v>集团</c:v>
                </c:pt>
              </c:strCache>
            </c:strRef>
          </c:tx>
          <c:spPr>
            <a:solidFill>
              <a:schemeClr val="accent1"/>
            </a:solidFill>
            <a:ln>
              <a:noFill/>
            </a:ln>
            <a:effectLst/>
          </c:spPr>
          <c:invertIfNegative val="0"/>
          <c:dLbls>
            <c:delete val="1"/>
          </c:dLbls>
          <c:cat>
            <c:strRef>
              <c:f>Sheet1!$A$2:$A$10</c:f>
              <c:strCache>
                <c:ptCount val="9"/>
                <c:pt idx="0">
                  <c:v>行政管理</c:v>
                </c:pt>
                <c:pt idx="1">
                  <c:v>信息管理</c:v>
                </c:pt>
                <c:pt idx="2">
                  <c:v>基建管理</c:v>
                </c:pt>
                <c:pt idx="3">
                  <c:v>固定资产</c:v>
                </c:pt>
                <c:pt idx="4">
                  <c:v>人力资源管理</c:v>
                </c:pt>
                <c:pt idx="5">
                  <c:v>法务管理</c:v>
                </c:pt>
                <c:pt idx="6">
                  <c:v>审计管理</c:v>
                </c:pt>
                <c:pt idx="7">
                  <c:v>自由协同</c:v>
                </c:pt>
                <c:pt idx="8">
                  <c:v>财务管理</c:v>
                </c:pt>
              </c:strCache>
            </c:strRef>
          </c:cat>
          <c:val>
            <c:numRef>
              <c:f>Sheet1!$B$2:$B$10</c:f>
              <c:numCache>
                <c:formatCode>General</c:formatCode>
                <c:ptCount val="9"/>
                <c:pt idx="0">
                  <c:v>16</c:v>
                </c:pt>
                <c:pt idx="1">
                  <c:v>3</c:v>
                </c:pt>
                <c:pt idx="2">
                  <c:v>5</c:v>
                </c:pt>
                <c:pt idx="3">
                  <c:v>19</c:v>
                </c:pt>
                <c:pt idx="4">
                  <c:v>16</c:v>
                </c:pt>
                <c:pt idx="5">
                  <c:v>12</c:v>
                </c:pt>
                <c:pt idx="6">
                  <c:v>4</c:v>
                </c:pt>
                <c:pt idx="7">
                  <c:v>1</c:v>
                </c:pt>
                <c:pt idx="8">
                  <c:v>11</c:v>
                </c:pt>
              </c:numCache>
            </c:numRef>
          </c:val>
        </c:ser>
        <c:ser>
          <c:idx val="1"/>
          <c:order val="1"/>
          <c:tx>
            <c:strRef>
              <c:f>Sheet1!$C$1</c:f>
              <c:strCache>
                <c:ptCount val="1"/>
                <c:pt idx="0">
                  <c:v>二级公司</c:v>
                </c:pt>
              </c:strCache>
            </c:strRef>
          </c:tx>
          <c:invertIfNegative val="0"/>
          <c:dLbls>
            <c:delete val="1"/>
          </c:dLbls>
          <c:cat>
            <c:strRef>
              <c:f>Sheet1!$A$2:$A$10</c:f>
              <c:strCache>
                <c:ptCount val="9"/>
                <c:pt idx="0">
                  <c:v>行政管理</c:v>
                </c:pt>
                <c:pt idx="1">
                  <c:v>信息管理</c:v>
                </c:pt>
                <c:pt idx="2">
                  <c:v>基建管理</c:v>
                </c:pt>
                <c:pt idx="3">
                  <c:v>固定资产</c:v>
                </c:pt>
                <c:pt idx="4">
                  <c:v>人力资源管理</c:v>
                </c:pt>
                <c:pt idx="5">
                  <c:v>法务管理</c:v>
                </c:pt>
                <c:pt idx="6">
                  <c:v>审计管理</c:v>
                </c:pt>
                <c:pt idx="7">
                  <c:v>自由协同</c:v>
                </c:pt>
                <c:pt idx="8">
                  <c:v>财务管理</c:v>
                </c:pt>
              </c:strCache>
            </c:strRef>
          </c:cat>
          <c:val>
            <c:numRef>
              <c:f>Sheet1!$C$2:$C$10</c:f>
              <c:numCache>
                <c:formatCode>General</c:formatCode>
                <c:ptCount val="9"/>
                <c:pt idx="0">
                  <c:v>17</c:v>
                </c:pt>
                <c:pt idx="2">
                  <c:v>1</c:v>
                </c:pt>
                <c:pt idx="3">
                  <c:v>8</c:v>
                </c:pt>
                <c:pt idx="4">
                  <c:v>12</c:v>
                </c:pt>
                <c:pt idx="5">
                  <c:v>2</c:v>
                </c:pt>
                <c:pt idx="6">
                  <c:v>1</c:v>
                </c:pt>
                <c:pt idx="8">
                  <c:v>10</c:v>
                </c:pt>
              </c:numCache>
            </c:numRef>
          </c:val>
        </c:ser>
        <c:dLbls>
          <c:showLegendKey val="0"/>
          <c:showVal val="0"/>
          <c:showCatName val="0"/>
          <c:showSerName val="0"/>
          <c:showPercent val="0"/>
          <c:showBubbleSize val="0"/>
        </c:dLbls>
        <c:gapWidth val="150"/>
        <c:overlap val="100"/>
        <c:axId val="279170432"/>
        <c:axId val="280806528"/>
      </c:barChart>
      <c:catAx>
        <c:axId val="279170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0806528"/>
        <c:crosses val="autoZero"/>
        <c:auto val="1"/>
        <c:lblAlgn val="ctr"/>
        <c:lblOffset val="100"/>
        <c:noMultiLvlLbl val="0"/>
      </c:catAx>
      <c:valAx>
        <c:axId val="28080652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91704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华天VI字体">
      <a:majorFont>
        <a:latin typeface="Arial"/>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6DD38B-F840-4C99-ACCD-FB4B1953D92A}">
  <ds:schemaRefs/>
</ds:datastoreItem>
</file>

<file path=docProps/app.xml><?xml version="1.0" encoding="utf-8"?>
<Properties xmlns="http://schemas.openxmlformats.org/officeDocument/2006/extended-properties" xmlns:vt="http://schemas.openxmlformats.org/officeDocument/2006/docPropsVTypes">
  <Template>长文档模板v3.2.dotx</Template>
  <Pages>42</Pages>
  <Words>9663</Words>
  <Characters>9873</Characters>
  <Lines>131</Lines>
  <Paragraphs>36</Paragraphs>
  <TotalTime>0</TotalTime>
  <ScaleCrop>false</ScaleCrop>
  <LinksUpToDate>false</LinksUpToDate>
  <CharactersWithSpaces>9963</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2018-02-12T03:07:00Z</dcterms:created>
  <dc:creator>开发部01</dc:creator>
  <cp:lastModifiedBy>华天-金菲- (6026)</cp:lastModifiedBy>
  <cp:lastPrinted>2016-08-05T09:46:00Z</cp:lastPrinted>
  <dcterms:modified xsi:type="dcterms:W3CDTF">2026-09-10T03:27:14Z</dcterms:modified>
  <cp:revision>600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F45174458CC844F0AE1B249370A2BE3E</vt:lpwstr>
  </property>
  <property fmtid="{D5CDD505-2E9C-101B-9397-08002B2CF9AE}" pid="4" name="KSOTemplateDocerSaveRecord">
    <vt:lpwstr>eyJoZGlkIjoiMTFlNmRiNjU0NzQ4NmJjYjRiNTIwNzgyZjJjOTEyMDciLCJ1c2VySWQiOiIxNDE2MjMzMjMwIn0=</vt:lpwstr>
  </property>
</Properties>
</file>